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51168" w14:textId="09BDC977" w:rsidR="004F7800" w:rsidRDefault="004F7800" w:rsidP="00297CD3">
      <w:pPr>
        <w:pStyle w:val="Heading2"/>
        <w:tabs>
          <w:tab w:val="left" w:pos="1730"/>
          <w:tab w:val="left" w:pos="2780"/>
        </w:tabs>
        <w:contextualSpacing w:val="0"/>
        <w:rPr>
          <w:rFonts w:ascii="Calibri" w:eastAsia="Century Gothic" w:hAnsi="Calibri" w:cs="Calibri"/>
          <w:b/>
          <w:color w:val="502A75"/>
          <w:sz w:val="24"/>
          <w:szCs w:val="24"/>
        </w:rPr>
      </w:pPr>
      <w:r w:rsidRPr="003A7A2A">
        <w:rPr>
          <w:rFonts w:ascii="Calibri" w:eastAsia="Century Gothic" w:hAnsi="Calibri" w:cs="Calibri"/>
          <w:b/>
          <w:color w:val="502A75"/>
          <w:sz w:val="24"/>
          <w:szCs w:val="24"/>
        </w:rPr>
        <w:t xml:space="preserve">Exploring </w:t>
      </w:r>
      <w:r w:rsidR="003A7A2A">
        <w:rPr>
          <w:rFonts w:ascii="Calibri" w:eastAsia="Century Gothic" w:hAnsi="Calibri" w:cs="Calibri"/>
          <w:b/>
          <w:color w:val="502A75"/>
          <w:sz w:val="24"/>
          <w:szCs w:val="24"/>
        </w:rPr>
        <w:t>F</w:t>
      </w:r>
      <w:r w:rsidRPr="003A7A2A">
        <w:rPr>
          <w:rFonts w:ascii="Calibri" w:eastAsia="Century Gothic" w:hAnsi="Calibri" w:cs="Calibri"/>
          <w:b/>
          <w:color w:val="502A75"/>
          <w:sz w:val="24"/>
          <w:szCs w:val="24"/>
        </w:rPr>
        <w:t xml:space="preserve">inancial </w:t>
      </w:r>
      <w:r w:rsidR="003A7A2A">
        <w:rPr>
          <w:rFonts w:ascii="Calibri" w:eastAsia="Century Gothic" w:hAnsi="Calibri" w:cs="Calibri"/>
          <w:b/>
          <w:color w:val="502A75"/>
          <w:sz w:val="24"/>
          <w:szCs w:val="24"/>
        </w:rPr>
        <w:t>I</w:t>
      </w:r>
      <w:r w:rsidRPr="003A7A2A">
        <w:rPr>
          <w:rFonts w:ascii="Calibri" w:eastAsia="Century Gothic" w:hAnsi="Calibri" w:cs="Calibri"/>
          <w:b/>
          <w:color w:val="502A75"/>
          <w:sz w:val="24"/>
          <w:szCs w:val="24"/>
        </w:rPr>
        <w:t xml:space="preserve">dentity through </w:t>
      </w:r>
      <w:r w:rsidR="003A7A2A">
        <w:rPr>
          <w:rFonts w:ascii="Calibri" w:eastAsia="Century Gothic" w:hAnsi="Calibri" w:cs="Calibri"/>
          <w:b/>
          <w:color w:val="502A75"/>
          <w:sz w:val="24"/>
          <w:szCs w:val="24"/>
        </w:rPr>
        <w:t>M</w:t>
      </w:r>
      <w:r w:rsidRPr="003A7A2A">
        <w:rPr>
          <w:rFonts w:ascii="Calibri" w:eastAsia="Century Gothic" w:hAnsi="Calibri" w:cs="Calibri"/>
          <w:b/>
          <w:color w:val="502A75"/>
          <w:sz w:val="24"/>
          <w:szCs w:val="24"/>
        </w:rPr>
        <w:t xml:space="preserve">athematics and </w:t>
      </w:r>
      <w:r w:rsidR="003A7A2A">
        <w:rPr>
          <w:rFonts w:ascii="Calibri" w:eastAsia="Century Gothic" w:hAnsi="Calibri" w:cs="Calibri"/>
          <w:b/>
          <w:color w:val="502A75"/>
          <w:sz w:val="24"/>
          <w:szCs w:val="24"/>
        </w:rPr>
        <w:t>S</w:t>
      </w:r>
      <w:r w:rsidRPr="003A7A2A">
        <w:rPr>
          <w:rFonts w:ascii="Calibri" w:eastAsia="Century Gothic" w:hAnsi="Calibri" w:cs="Calibri"/>
          <w:b/>
          <w:color w:val="502A75"/>
          <w:sz w:val="24"/>
          <w:szCs w:val="24"/>
        </w:rPr>
        <w:t>tatistics</w:t>
      </w:r>
    </w:p>
    <w:p w14:paraId="50E6A203" w14:textId="50327DFD" w:rsidR="003A7A2A" w:rsidRPr="003A7A2A" w:rsidRDefault="006379FB" w:rsidP="003A7A2A">
      <w:r>
        <w:rPr>
          <w:rFonts w:asciiTheme="majorHAnsi" w:eastAsia="Century Gothic" w:hAnsiTheme="majorHAnsi" w:cstheme="majorHAnsi"/>
          <w:bCs/>
          <w:color w:val="F46E35"/>
          <w:sz w:val="56"/>
          <w:szCs w:val="56"/>
        </w:rPr>
        <w:t>Achievement and learning objectives</w:t>
      </w:r>
    </w:p>
    <w:p w14:paraId="4A5C3FFA" w14:textId="77777777" w:rsidR="00792BFB" w:rsidRDefault="00792BFB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p w14:paraId="54EE0359" w14:textId="60A48D19" w:rsidR="008D1FB4" w:rsidRPr="00CA08C8" w:rsidRDefault="008D1FB4" w:rsidP="008D1FB4">
      <w:pPr>
        <w:spacing w:line="240" w:lineRule="auto"/>
        <w:contextualSpacing w:val="0"/>
        <w:rPr>
          <w:rFonts w:asciiTheme="majorHAnsi" w:eastAsia="Century Gothic" w:hAnsiTheme="majorHAnsi" w:cstheme="majorHAnsi"/>
        </w:rPr>
      </w:pPr>
      <w:r w:rsidRPr="00CA08C8">
        <w:rPr>
          <w:rFonts w:asciiTheme="majorHAnsi" w:eastAsia="Century Gothic" w:hAnsiTheme="majorHAnsi" w:cstheme="majorHAnsi"/>
          <w:sz w:val="20"/>
          <w:szCs w:val="20"/>
        </w:rPr>
        <w:t xml:space="preserve">This resource encourages students to apply mathematical skills and knowledge in a financial context. Students explore their financial identity and behaviours when managing their money, spending, saving and taking on debt. </w:t>
      </w:r>
      <w:r w:rsidRPr="00CA08C8">
        <w:rPr>
          <w:rFonts w:asciiTheme="majorHAnsi" w:eastAsia="Century Gothic" w:hAnsiTheme="majorHAnsi" w:cstheme="majorHAnsi"/>
        </w:rPr>
        <w:t xml:space="preserve"> </w:t>
      </w:r>
    </w:p>
    <w:p w14:paraId="4A035ABA" w14:textId="292E0465" w:rsidR="008D1FB4" w:rsidRPr="00CA08C8" w:rsidRDefault="008D1FB4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p w14:paraId="7DBC72E6" w14:textId="582C6E0D" w:rsidR="008D1FB4" w:rsidRPr="00CA08C8" w:rsidRDefault="008D1FB4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color w:val="333333"/>
          <w:sz w:val="20"/>
          <w:szCs w:val="20"/>
        </w:rPr>
      </w:pPr>
      <w:r w:rsidRPr="00CA08C8">
        <w:rPr>
          <w:rFonts w:asciiTheme="majorHAnsi" w:eastAsia="Century Gothic" w:hAnsiTheme="majorHAnsi" w:cstheme="majorHAnsi"/>
          <w:sz w:val="20"/>
          <w:szCs w:val="20"/>
        </w:rPr>
        <w:t xml:space="preserve">This resource is designed as an integrated, cross-curricular resource, supporting the theme, </w:t>
      </w:r>
      <w:r w:rsidRPr="00CA08C8">
        <w:rPr>
          <w:rFonts w:asciiTheme="majorHAnsi" w:eastAsia="Century Gothic" w:hAnsiTheme="majorHAnsi" w:cstheme="majorHAnsi"/>
          <w:b/>
          <w:sz w:val="20"/>
          <w:szCs w:val="20"/>
        </w:rPr>
        <w:t xml:space="preserve">Identity. </w:t>
      </w:r>
      <w:r w:rsidRPr="00CA08C8">
        <w:rPr>
          <w:rFonts w:asciiTheme="majorHAnsi" w:eastAsia="Century Gothic" w:hAnsiTheme="majorHAnsi" w:cstheme="majorHAnsi"/>
          <w:sz w:val="20"/>
          <w:szCs w:val="20"/>
        </w:rPr>
        <w:t xml:space="preserve">It can be used in multiple ways to support teaching and learning. Related </w:t>
      </w:r>
      <w:r w:rsidRPr="00CA08C8">
        <w:rPr>
          <w:rFonts w:asciiTheme="majorHAnsi" w:eastAsia="Century Gothic" w:hAnsiTheme="majorHAnsi" w:cstheme="majorHAnsi"/>
          <w:color w:val="333333"/>
          <w:sz w:val="20"/>
          <w:szCs w:val="20"/>
        </w:rPr>
        <w:t>resources are also available for social sciences, English and technology (digital technologies).</w:t>
      </w:r>
    </w:p>
    <w:p w14:paraId="4190DFE2" w14:textId="4FAC14A0" w:rsidR="008D1FB4" w:rsidRPr="00CA08C8" w:rsidRDefault="0072732D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color w:val="333333"/>
          <w:sz w:val="20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63360" behindDoc="1" locked="0" layoutInCell="1" allowOverlap="1" wp14:anchorId="29CB1F6E" wp14:editId="17A00CBA">
            <wp:simplePos x="0" y="0"/>
            <wp:positionH relativeFrom="page">
              <wp:align>left</wp:align>
            </wp:positionH>
            <wp:positionV relativeFrom="page">
              <wp:posOffset>3028950</wp:posOffset>
            </wp:positionV>
            <wp:extent cx="464653" cy="1714500"/>
            <wp:effectExtent l="0" t="0" r="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5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9C487" w14:textId="50B92480" w:rsidR="008D1FB4" w:rsidRPr="008F0EC2" w:rsidRDefault="00375489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bCs/>
          <w:sz w:val="20"/>
          <w:szCs w:val="20"/>
        </w:rPr>
      </w:pPr>
      <w:r w:rsidRPr="00375489">
        <w:rPr>
          <w:rFonts w:asciiTheme="majorHAnsi" w:eastAsia="Century Gothic" w:hAnsiTheme="majorHAnsi" w:cstheme="maj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B93F" wp14:editId="530E4EB1">
                <wp:simplePos x="0" y="0"/>
                <wp:positionH relativeFrom="column">
                  <wp:posOffset>6024245</wp:posOffset>
                </wp:positionH>
                <wp:positionV relativeFrom="paragraph">
                  <wp:posOffset>1722120</wp:posOffset>
                </wp:positionV>
                <wp:extent cx="309880" cy="317500"/>
                <wp:effectExtent l="34290" t="0" r="29210" b="29210"/>
                <wp:wrapNone/>
                <wp:docPr id="56" name="Right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4016">
                          <a:off x="0" y="0"/>
                          <a:ext cx="309880" cy="317500"/>
                        </a:xfrm>
                        <a:prstGeom prst="rtTriangle">
                          <a:avLst/>
                        </a:prstGeom>
                        <a:solidFill>
                          <a:srgbClr val="6CCD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02A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6" o:spid="_x0000_s1026" type="#_x0000_t6" style="position:absolute;margin-left:474.35pt;margin-top:135.6pt;width:24.4pt;height:25pt;rotation:-54897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" fillcolor="#6ccde5" stroked="f" strokeweight="2pt"/>
            </w:pict>
          </mc:Fallback>
        </mc:AlternateContent>
      </w:r>
      <w:r w:rsidRPr="00375489">
        <w:rPr>
          <w:rFonts w:asciiTheme="majorHAnsi" w:eastAsia="Century Gothic" w:hAnsiTheme="majorHAnsi" w:cstheme="majorHAnsi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123FE1" wp14:editId="1AE15F36">
            <wp:simplePos x="0" y="0"/>
            <wp:positionH relativeFrom="column">
              <wp:posOffset>6350000</wp:posOffset>
            </wp:positionH>
            <wp:positionV relativeFrom="paragraph">
              <wp:posOffset>158115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4" w:rsidRPr="008F0EC2">
        <w:rPr>
          <w:rFonts w:asciiTheme="majorHAnsi" w:eastAsia="Century Gothic" w:hAnsiTheme="majorHAnsi" w:cstheme="majorHAnsi"/>
          <w:bCs/>
          <w:sz w:val="20"/>
          <w:szCs w:val="20"/>
        </w:rPr>
        <w:t>Important reading</w:t>
      </w:r>
      <w:r w:rsidR="008F0EC2">
        <w:rPr>
          <w:rFonts w:asciiTheme="majorHAnsi" w:eastAsia="Century Gothic" w:hAnsiTheme="majorHAnsi" w:cstheme="majorHAnsi"/>
          <w:bCs/>
          <w:sz w:val="20"/>
          <w:szCs w:val="20"/>
        </w:rPr>
        <w:t>s</w:t>
      </w:r>
      <w:r w:rsidR="008D1FB4" w:rsidRPr="008F0EC2">
        <w:rPr>
          <w:rFonts w:asciiTheme="majorHAnsi" w:eastAsia="Century Gothic" w:hAnsiTheme="majorHAnsi" w:cstheme="majorHAnsi"/>
          <w:bCs/>
          <w:sz w:val="20"/>
          <w:szCs w:val="20"/>
        </w:rPr>
        <w:t xml:space="preserve">: </w:t>
      </w:r>
    </w:p>
    <w:p w14:paraId="3C2570AB" w14:textId="592DE926" w:rsidR="008D1FB4" w:rsidRPr="008F0EC2" w:rsidRDefault="009E3608" w:rsidP="00CA08C8">
      <w:pPr>
        <w:numPr>
          <w:ilvl w:val="0"/>
          <w:numId w:val="15"/>
        </w:numPr>
        <w:spacing w:line="240" w:lineRule="auto"/>
        <w:rPr>
          <w:rStyle w:val="Hyperlink"/>
          <w:rFonts w:asciiTheme="majorHAnsi" w:eastAsia="Century Gothic" w:hAnsiTheme="majorHAnsi" w:cstheme="majorHAnsi"/>
          <w:b/>
          <w:bCs/>
          <w:color w:val="F36E37"/>
          <w:sz w:val="20"/>
          <w:szCs w:val="20"/>
          <w:u w:val="none"/>
        </w:rPr>
      </w:pPr>
      <w:r w:rsidRPr="008F0EC2"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  <w:fldChar w:fldCharType="begin"/>
      </w:r>
      <w:r w:rsidR="001A0FD7" w:rsidRPr="008F0EC2"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  <w:instrText>HYPERLINK "http://sortedinschools.org.nz/sorted-resources/financial-identity/"</w:instrText>
      </w:r>
      <w:r w:rsidRPr="008F0EC2"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  <w:fldChar w:fldCharType="separate"/>
      </w:r>
      <w:r w:rsidR="008D1FB4" w:rsidRPr="008F0EC2">
        <w:rPr>
          <w:rStyle w:val="Hyperlink"/>
          <w:rFonts w:asciiTheme="majorHAnsi" w:eastAsia="Century Gothic" w:hAnsiTheme="majorHAnsi" w:cstheme="majorHAnsi"/>
          <w:b/>
          <w:bCs/>
          <w:color w:val="F36E37"/>
          <w:sz w:val="20"/>
          <w:szCs w:val="20"/>
          <w:u w:val="none"/>
        </w:rPr>
        <w:t>Financial identity resource introduction</w:t>
      </w:r>
    </w:p>
    <w:p w14:paraId="03603341" w14:textId="69586BDA" w:rsidR="008D1FB4" w:rsidRPr="00CA08C8" w:rsidRDefault="009E3608" w:rsidP="00CA08C8">
      <w:pPr>
        <w:numPr>
          <w:ilvl w:val="0"/>
          <w:numId w:val="15"/>
        </w:numPr>
        <w:spacing w:line="240" w:lineRule="auto"/>
        <w:rPr>
          <w:rFonts w:asciiTheme="majorHAnsi" w:eastAsia="Century Gothic" w:hAnsiTheme="majorHAnsi" w:cstheme="majorHAnsi"/>
          <w:sz w:val="20"/>
          <w:szCs w:val="20"/>
        </w:rPr>
      </w:pPr>
      <w:r w:rsidRPr="008F0EC2">
        <w:rPr>
          <w:rFonts w:asciiTheme="majorHAnsi" w:eastAsia="Century Gothic" w:hAnsiTheme="majorHAnsi" w:cstheme="majorHAnsi"/>
          <w:b/>
          <w:bCs/>
          <w:color w:val="F36E37"/>
          <w:sz w:val="20"/>
          <w:szCs w:val="20"/>
        </w:rPr>
        <w:fldChar w:fldCharType="end"/>
      </w:r>
      <w:hyperlink r:id="rId9">
        <w:r w:rsidR="008D1FB4" w:rsidRPr="008F0EC2">
          <w:rPr>
            <w:rFonts w:asciiTheme="majorHAnsi" w:eastAsia="Century Gothic" w:hAnsiTheme="majorHAnsi" w:cstheme="majorHAnsi"/>
            <w:b/>
            <w:bCs/>
            <w:color w:val="F36E37"/>
            <w:sz w:val="20"/>
            <w:szCs w:val="20"/>
          </w:rPr>
          <w:t xml:space="preserve">Pedagogy and methodology </w:t>
        </w:r>
        <w:r w:rsidR="008D1FB4" w:rsidRPr="008F0EC2">
          <w:rPr>
            <w:rFonts w:asciiTheme="majorHAnsi" w:eastAsia="Century Gothic" w:hAnsiTheme="majorHAnsi" w:cstheme="majorHAnsi"/>
            <w:sz w:val="20"/>
            <w:szCs w:val="20"/>
          </w:rPr>
          <w:t>overview</w:t>
        </w:r>
      </w:hyperlink>
      <w:r w:rsidR="008D1FB4" w:rsidRPr="00CA08C8">
        <w:rPr>
          <w:rFonts w:asciiTheme="majorHAnsi" w:eastAsia="Century Gothic" w:hAnsiTheme="majorHAnsi" w:cstheme="majorHAnsi"/>
          <w:sz w:val="20"/>
          <w:szCs w:val="20"/>
        </w:rPr>
        <w:t>, for the frameworks underpinning the development of this resource.</w:t>
      </w:r>
    </w:p>
    <w:p w14:paraId="1C9B0401" w14:textId="07062096" w:rsidR="008D1FB4" w:rsidRPr="00CA08C8" w:rsidRDefault="008D1FB4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p w14:paraId="01F56778" w14:textId="1575937E" w:rsidR="008D1FB4" w:rsidRPr="00CA08C8" w:rsidRDefault="008D1FB4" w:rsidP="008D1FB4">
      <w:pPr>
        <w:spacing w:line="240" w:lineRule="auto"/>
        <w:contextualSpacing w:val="0"/>
        <w:rPr>
          <w:rFonts w:asciiTheme="majorHAnsi" w:eastAsia="Century Gothic" w:hAnsiTheme="majorHAnsi" w:cstheme="majorHAnsi"/>
          <w:b/>
          <w:sz w:val="20"/>
          <w:szCs w:val="20"/>
        </w:rPr>
      </w:pPr>
      <w:r w:rsidRPr="00CA08C8">
        <w:rPr>
          <w:rFonts w:asciiTheme="majorHAnsi" w:eastAsia="Century Gothic" w:hAnsiTheme="majorHAnsi" w:cstheme="majorHAnsi"/>
          <w:b/>
          <w:sz w:val="20"/>
          <w:szCs w:val="20"/>
        </w:rPr>
        <w:t>Timing</w:t>
      </w:r>
    </w:p>
    <w:p w14:paraId="3E8F168C" w14:textId="65361220" w:rsidR="008D1FB4" w:rsidRPr="00CA08C8" w:rsidRDefault="008D1FB4" w:rsidP="008D1FB4">
      <w:p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  <w:lang w:val="en-AU"/>
        </w:rPr>
      </w:pPr>
      <w:r w:rsidRPr="00CA08C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val="en-AU"/>
        </w:rPr>
        <w:t>The resources are designed for flexibility and choice. There are a range of resources to choose from, so schools and teachers can design programmes that allows:</w:t>
      </w:r>
    </w:p>
    <w:p w14:paraId="1260DC4B" w14:textId="4D20825E" w:rsidR="008D1FB4" w:rsidRPr="00CA08C8" w:rsidRDefault="008D1FB4" w:rsidP="00CA08C8">
      <w:pPr>
        <w:numPr>
          <w:ilvl w:val="0"/>
          <w:numId w:val="16"/>
        </w:numPr>
        <w:spacing w:beforeAutospacing="1" w:afterAutospacing="1" w:line="240" w:lineRule="auto"/>
        <w:contextualSpacing w:val="0"/>
        <w:textAlignment w:val="baseline"/>
        <w:rPr>
          <w:rFonts w:asciiTheme="majorHAnsi" w:eastAsia="Times New Roman" w:hAnsiTheme="majorHAnsi" w:cstheme="majorHAnsi"/>
          <w:sz w:val="20"/>
          <w:szCs w:val="20"/>
          <w:lang w:val="en-AU"/>
        </w:rPr>
      </w:pPr>
      <w:r w:rsidRPr="00CA08C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val="en-AU"/>
        </w:rPr>
        <w:t>Students to work at their own pace using a student planner.</w:t>
      </w:r>
    </w:p>
    <w:p w14:paraId="28EFF526" w14:textId="66623F32" w:rsidR="008D1FB4" w:rsidRPr="00CA08C8" w:rsidRDefault="006C68A7" w:rsidP="00CA08C8">
      <w:pPr>
        <w:numPr>
          <w:ilvl w:val="0"/>
          <w:numId w:val="16"/>
        </w:numPr>
        <w:spacing w:beforeAutospacing="1" w:afterAutospacing="1" w:line="240" w:lineRule="auto"/>
        <w:contextualSpacing w:val="0"/>
        <w:textAlignment w:val="baseline"/>
        <w:rPr>
          <w:rFonts w:asciiTheme="majorHAnsi" w:eastAsia="Times New Roman" w:hAnsiTheme="majorHAnsi" w:cstheme="majorHAnsi"/>
          <w:sz w:val="20"/>
          <w:szCs w:val="20"/>
          <w:lang w:val="en-AU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65408" behindDoc="0" locked="0" layoutInCell="1" allowOverlap="1" wp14:anchorId="2EECD82D" wp14:editId="108716BC">
            <wp:simplePos x="0" y="0"/>
            <wp:positionH relativeFrom="column">
              <wp:posOffset>-304800</wp:posOffset>
            </wp:positionH>
            <wp:positionV relativeFrom="paragraph">
              <wp:posOffset>2065020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4" w:rsidRPr="00CA08C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  <w:lang w:val="en-AU"/>
        </w:rPr>
        <w:t>Teachers to design a programme that suits department/faculty or whole-school planning over a few weeks or a term. This will vary from school to school.</w:t>
      </w:r>
    </w:p>
    <w:tbl>
      <w:tblPr>
        <w:tblStyle w:val="GridTable3-Accent6"/>
        <w:tblW w:w="0" w:type="auto"/>
        <w:tblLook w:val="0600" w:firstRow="0" w:lastRow="0" w:firstColumn="0" w:lastColumn="0" w:noHBand="1" w:noVBand="1"/>
      </w:tblPr>
      <w:tblGrid>
        <w:gridCol w:w="9736"/>
      </w:tblGrid>
      <w:tr w:rsidR="008D1FB4" w:rsidRPr="00CA08C8" w14:paraId="5753CC14" w14:textId="77777777" w:rsidTr="002955FF">
        <w:trPr>
          <w:trHeight w:val="440"/>
        </w:trPr>
        <w:tc>
          <w:tcPr>
            <w:tcW w:w="0" w:type="auto"/>
          </w:tcPr>
          <w:p w14:paraId="48CF477C" w14:textId="1CD28829" w:rsidR="008D1FB4" w:rsidRPr="00411C20" w:rsidRDefault="008D1FB4" w:rsidP="00515576">
            <w:pPr>
              <w:contextualSpacing w:val="0"/>
              <w:rPr>
                <w:rFonts w:ascii="Calibri" w:eastAsia="Century Gothic" w:hAnsi="Calibri" w:cs="Calibri"/>
                <w:b/>
                <w:color w:val="502A75"/>
                <w:sz w:val="24"/>
                <w:szCs w:val="24"/>
              </w:rPr>
            </w:pPr>
            <w:r w:rsidRPr="00411C20">
              <w:rPr>
                <w:rFonts w:ascii="Calibri" w:eastAsia="Century Gothic" w:hAnsi="Calibri" w:cs="Calibri"/>
                <w:b/>
                <w:color w:val="502A75"/>
                <w:sz w:val="24"/>
                <w:szCs w:val="24"/>
              </w:rPr>
              <w:t>Mathematics and statistics achievement objectives</w:t>
            </w:r>
          </w:p>
          <w:p w14:paraId="5D0C4B3A" w14:textId="06143118" w:rsidR="00411C20" w:rsidRPr="00CA08C8" w:rsidRDefault="00411C20" w:rsidP="00515576">
            <w:pPr>
              <w:contextualSpacing w:val="0"/>
              <w:rPr>
                <w:rFonts w:asciiTheme="majorHAnsi" w:eastAsia="Century Gothic" w:hAnsiTheme="majorHAnsi" w:cstheme="majorHAnsi"/>
                <w:b/>
                <w:color w:val="7030A0"/>
                <w:sz w:val="24"/>
                <w:szCs w:val="24"/>
              </w:rPr>
            </w:pPr>
          </w:p>
          <w:p w14:paraId="52F63550" w14:textId="77777777" w:rsidR="008D1FB4" w:rsidRPr="00CA08C8" w:rsidRDefault="008D1FB4" w:rsidP="00515576">
            <w:pPr>
              <w:contextualSpacing w:val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In a range of meaningful contexts, students will be engaged in thinking mathematically and statistically. They will solve problems and model situations that require them to:</w:t>
            </w:r>
          </w:p>
          <w:p w14:paraId="4A683306" w14:textId="77777777" w:rsidR="008D1FB4" w:rsidRPr="00CA08C8" w:rsidRDefault="008D1FB4" w:rsidP="00515576">
            <w:pPr>
              <w:contextualSpacing w:val="0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</w:p>
          <w:p w14:paraId="1A7A5BC7" w14:textId="79B89175" w:rsidR="008D1FB4" w:rsidRPr="00CA08C8" w:rsidRDefault="008D1FB4" w:rsidP="00515576">
            <w:pPr>
              <w:contextualSpacing w:val="0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CA08C8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Level</w:t>
            </w:r>
            <w:r w:rsidR="00411C20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 4</w:t>
            </w:r>
          </w:p>
          <w:p w14:paraId="631F98AA" w14:textId="77777777" w:rsidR="008D1FB4" w:rsidRPr="00297CD3" w:rsidRDefault="008D1FB4" w:rsidP="00411C20">
            <w:pPr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understand addition and subtraction of fractions, decimals, and integers</w:t>
            </w:r>
          </w:p>
          <w:p w14:paraId="4E309483" w14:textId="77777777" w:rsidR="008D1FB4" w:rsidRPr="00297CD3" w:rsidRDefault="008D1FB4" w:rsidP="00411C20">
            <w:pPr>
              <w:numPr>
                <w:ilvl w:val="0"/>
                <w:numId w:val="2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find fractions, decimals, and percentages of amounts expressed as whole numbers, simple fractions, and decimals</w:t>
            </w:r>
          </w:p>
          <w:p w14:paraId="38BE4EDD" w14:textId="77777777" w:rsidR="008D1FB4" w:rsidRPr="00297CD3" w:rsidRDefault="008D1FB4" w:rsidP="00411C20">
            <w:pPr>
              <w:numPr>
                <w:ilvl w:val="0"/>
                <w:numId w:val="2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apply simple linear proportions, including ordering fractions</w:t>
            </w:r>
          </w:p>
          <w:p w14:paraId="77E455FD" w14:textId="77777777" w:rsidR="008D1FB4" w:rsidRPr="00297CD3" w:rsidRDefault="008D1FB4" w:rsidP="00411C20">
            <w:pPr>
              <w:numPr>
                <w:ilvl w:val="0"/>
                <w:numId w:val="2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know the equivalent decimal and percentage forms for everyday fractions</w:t>
            </w:r>
          </w:p>
          <w:p w14:paraId="0DC3C5B9" w14:textId="77777777" w:rsidR="008D1FB4" w:rsidRPr="00297CD3" w:rsidRDefault="008D1FB4" w:rsidP="00411C20">
            <w:pPr>
              <w:numPr>
                <w:ilvl w:val="0"/>
                <w:numId w:val="2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know the relative size and place value structure of positive and negative integers and decimals to three places</w:t>
            </w:r>
          </w:p>
          <w:p w14:paraId="2A84F298" w14:textId="77777777" w:rsidR="008D1FB4" w:rsidRPr="00297CD3" w:rsidRDefault="008D1FB4" w:rsidP="00411C20">
            <w:pPr>
              <w:numPr>
                <w:ilvl w:val="0"/>
                <w:numId w:val="27"/>
              </w:numPr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97CD3">
              <w:rPr>
                <w:rFonts w:asciiTheme="majorHAnsi" w:eastAsia="Century Gothic" w:hAnsiTheme="majorHAnsi" w:cstheme="majorHAnsi"/>
                <w:sz w:val="20"/>
                <w:szCs w:val="20"/>
              </w:rPr>
              <w:t>form and solve simple linear equations.</w:t>
            </w:r>
          </w:p>
          <w:p w14:paraId="495B8763" w14:textId="77777777" w:rsidR="008D1FB4" w:rsidRPr="00CA08C8" w:rsidRDefault="008D1FB4" w:rsidP="00515576">
            <w:pPr>
              <w:contextualSpacing w:val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  <w:p w14:paraId="5765B675" w14:textId="24AFDD40" w:rsidR="008D1FB4" w:rsidRPr="00CA08C8" w:rsidRDefault="008D1FB4" w:rsidP="00515576">
            <w:pPr>
              <w:contextualSpacing w:val="0"/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</w:pPr>
            <w:r w:rsidRPr="00CA08C8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 xml:space="preserve">Level </w:t>
            </w:r>
            <w:r w:rsidR="00411C20">
              <w:rPr>
                <w:rFonts w:asciiTheme="majorHAnsi" w:eastAsia="Century Gothic" w:hAnsiTheme="majorHAnsi" w:cstheme="majorHAnsi"/>
                <w:b/>
                <w:sz w:val="20"/>
                <w:szCs w:val="20"/>
              </w:rPr>
              <w:t>5</w:t>
            </w:r>
          </w:p>
          <w:p w14:paraId="74158A01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reason with linear proportions</w:t>
            </w:r>
          </w:p>
          <w:p w14:paraId="795C50F4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understand operations on fractions, decimals, percentages, and integers</w:t>
            </w:r>
          </w:p>
          <w:p w14:paraId="659AA5F0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use rates and ratios</w:t>
            </w:r>
          </w:p>
          <w:p w14:paraId="78DCC76B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know commonly used fraction, decimal, and percentage conversions</w:t>
            </w:r>
          </w:p>
          <w:p w14:paraId="48DB4EE7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know and apply standard form, significant figures, rounding, and decimal place value</w:t>
            </w:r>
          </w:p>
          <w:p w14:paraId="206ED7A6" w14:textId="77777777" w:rsidR="008D1FB4" w:rsidRPr="00CA08C8" w:rsidRDefault="008D1FB4" w:rsidP="00CA08C8">
            <w:pPr>
              <w:numPr>
                <w:ilvl w:val="0"/>
                <w:numId w:val="17"/>
              </w:numPr>
              <w:spacing w:after="160"/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</w:pP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  <w:shd w:val="clear" w:color="auto" w:fill="FDFDFD"/>
              </w:rPr>
              <w:t>Form and solve linear and simple quadratic equations.</w:t>
            </w:r>
          </w:p>
        </w:tc>
      </w:tr>
    </w:tbl>
    <w:p w14:paraId="21FBF83C" w14:textId="739E8A08" w:rsidR="004F7800" w:rsidRDefault="004F7800" w:rsidP="004F7800">
      <w:pPr>
        <w:rPr>
          <w:rFonts w:asciiTheme="majorHAnsi" w:hAnsiTheme="majorHAnsi" w:cstheme="majorHAnsi"/>
        </w:rPr>
      </w:pPr>
    </w:p>
    <w:p w14:paraId="631F717F" w14:textId="459D880A" w:rsidR="00A2056F" w:rsidRPr="00E86185" w:rsidRDefault="00A2056F" w:rsidP="00A2056F">
      <w:pPr>
        <w:rPr>
          <w:rFonts w:asciiTheme="majorHAnsi" w:eastAsia="Century Gothic" w:hAnsiTheme="majorHAnsi" w:cstheme="majorHAnsi"/>
          <w:color w:val="502A75"/>
          <w:sz w:val="20"/>
          <w:szCs w:val="20"/>
        </w:rPr>
      </w:pPr>
      <w:r w:rsidRPr="00E86185">
        <w:rPr>
          <w:rFonts w:asciiTheme="majorHAnsi" w:eastAsia="Century Gothic" w:hAnsiTheme="majorHAnsi" w:cstheme="majorHAnsi"/>
          <w:b/>
          <w:color w:val="502A75"/>
          <w:sz w:val="20"/>
          <w:szCs w:val="20"/>
        </w:rPr>
        <w:t>Please note:</w:t>
      </w:r>
      <w:r w:rsidRPr="00E86185">
        <w:rPr>
          <w:rFonts w:asciiTheme="majorHAnsi" w:eastAsia="Century Gothic" w:hAnsiTheme="majorHAnsi" w:cstheme="majorHAnsi"/>
          <w:color w:val="502A75"/>
          <w:sz w:val="20"/>
          <w:szCs w:val="20"/>
        </w:rPr>
        <w:t xml:space="preserve"> </w:t>
      </w:r>
    </w:p>
    <w:p w14:paraId="4851FA37" w14:textId="77777777" w:rsidR="00A2056F" w:rsidRPr="0056685A" w:rsidRDefault="00A2056F" w:rsidP="00A2056F">
      <w:pPr>
        <w:rPr>
          <w:rFonts w:asciiTheme="majorHAnsi" w:eastAsia="Century Gothic" w:hAnsiTheme="majorHAnsi" w:cstheme="majorHAnsi"/>
          <w:sz w:val="20"/>
          <w:szCs w:val="20"/>
        </w:rPr>
      </w:pP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Te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Ara </w:t>
      </w: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Ahunga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Ora Retirement Commission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recommends that all users of this resource check the conditions of use and Copyright policies of any third parties content linked to from this resource that they wish to reuse.</w:t>
      </w:r>
    </w:p>
    <w:p w14:paraId="0BF8EB19" w14:textId="08F60B65" w:rsidR="00A2056F" w:rsidRPr="0056685A" w:rsidRDefault="00A2056F" w:rsidP="00A2056F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675FCCC3" w14:textId="2E74753B" w:rsidR="00A2056F" w:rsidRPr="0056685A" w:rsidRDefault="00A2056F" w:rsidP="00A2056F">
      <w:pPr>
        <w:rPr>
          <w:rFonts w:asciiTheme="majorHAnsi" w:eastAsia="Century Gothic" w:hAnsiTheme="majorHAnsi" w:cstheme="majorHAnsi"/>
          <w:b/>
          <w:sz w:val="20"/>
          <w:szCs w:val="20"/>
        </w:rPr>
      </w:pP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lastRenderedPageBreak/>
        <w:t>Te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Ara </w:t>
      </w:r>
      <w:proofErr w:type="spellStart"/>
      <w:r>
        <w:rPr>
          <w:rFonts w:asciiTheme="majorHAnsi" w:eastAsia="Century Gothic" w:hAnsiTheme="majorHAnsi" w:cstheme="majorHAnsi"/>
          <w:sz w:val="20"/>
          <w:szCs w:val="20"/>
        </w:rPr>
        <w:t>Ahunga</w:t>
      </w:r>
      <w:proofErr w:type="spellEnd"/>
      <w:r>
        <w:rPr>
          <w:rFonts w:asciiTheme="majorHAnsi" w:eastAsia="Century Gothic" w:hAnsiTheme="majorHAnsi" w:cstheme="majorHAnsi"/>
          <w:sz w:val="20"/>
          <w:szCs w:val="20"/>
        </w:rPr>
        <w:t xml:space="preserve"> Ora Retirement Commission</w:t>
      </w:r>
      <w:r w:rsidRPr="0056685A">
        <w:rPr>
          <w:rFonts w:asciiTheme="majorHAnsi" w:eastAsia="Century Gothic" w:hAnsiTheme="majorHAnsi" w:cstheme="majorHAnsi"/>
          <w:sz w:val="20"/>
          <w:szCs w:val="20"/>
        </w:rPr>
        <w:t xml:space="preserve"> does not accept liability for the accuracy of content or information belonging to third parties that you may access via a hyperlink from this site, nor does it endorse those sites or products.</w:t>
      </w:r>
    </w:p>
    <w:p w14:paraId="613F34E5" w14:textId="44C22589" w:rsidR="00A2056F" w:rsidRPr="0056685A" w:rsidRDefault="00E65D6A" w:rsidP="00A2056F">
      <w:pPr>
        <w:rPr>
          <w:rFonts w:asciiTheme="majorHAnsi" w:hAnsiTheme="majorHAnsi" w:cstheme="majorHAnsi"/>
        </w:r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69504" behindDoc="0" locked="0" layoutInCell="1" allowOverlap="1" wp14:anchorId="1EA7A259" wp14:editId="56E3626C">
            <wp:simplePos x="0" y="0"/>
            <wp:positionH relativeFrom="column">
              <wp:posOffset>4495800</wp:posOffset>
            </wp:positionH>
            <wp:positionV relativeFrom="paragraph">
              <wp:posOffset>23495</wp:posOffset>
            </wp:positionV>
            <wp:extent cx="1830070" cy="1068705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07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DB8"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C6F5B4" wp14:editId="7CA92763">
                <wp:simplePos x="0" y="0"/>
                <wp:positionH relativeFrom="leftMargin">
                  <wp:align>right</wp:align>
                </wp:positionH>
                <wp:positionV relativeFrom="paragraph">
                  <wp:posOffset>205105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3F15" id="Group 80" o:spid="_x0000_s1026" style="position:absolute;margin-left:-27.05pt;margin-top:16.15pt;width:24.15pt;height:23.35pt;z-index:251667456;mso-position-horizontal:right;mso-position-horizontal-relative:left-margin-area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2422442D" w14:textId="519E4225" w:rsidR="00CA08C8" w:rsidRDefault="00CA08C8" w:rsidP="004F7800">
      <w:pPr>
        <w:rPr>
          <w:rFonts w:asciiTheme="majorHAnsi" w:hAnsiTheme="majorHAnsi" w:cstheme="majorHAnsi"/>
        </w:rPr>
      </w:pPr>
    </w:p>
    <w:p w14:paraId="3F5C7070" w14:textId="77777777" w:rsidR="00CA08C8" w:rsidRPr="00CA08C8" w:rsidRDefault="00CA08C8" w:rsidP="004F7800">
      <w:pPr>
        <w:rPr>
          <w:rFonts w:asciiTheme="majorHAnsi" w:hAnsiTheme="majorHAnsi" w:cstheme="majorHAnsi"/>
        </w:rPr>
      </w:pPr>
    </w:p>
    <w:p w14:paraId="60455756" w14:textId="77777777" w:rsidR="00342BD8" w:rsidRPr="00CA08C8" w:rsidRDefault="00342BD8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p w14:paraId="5F347ACF" w14:textId="77777777" w:rsidR="00342BD8" w:rsidRPr="00CA08C8" w:rsidRDefault="00342BD8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p w14:paraId="7B584364" w14:textId="77777777" w:rsidR="00342BD8" w:rsidRPr="00CA08C8" w:rsidRDefault="00342BD8">
      <w:pPr>
        <w:spacing w:line="240" w:lineRule="auto"/>
        <w:contextualSpacing w:val="0"/>
        <w:rPr>
          <w:rFonts w:asciiTheme="majorHAnsi" w:eastAsia="Century Gothic" w:hAnsiTheme="majorHAnsi" w:cstheme="majorHAnsi"/>
          <w:sz w:val="20"/>
          <w:szCs w:val="20"/>
        </w:rPr>
      </w:pPr>
    </w:p>
    <w:sectPr w:rsidR="00342BD8" w:rsidRPr="00CA08C8" w:rsidSect="00CF1ECF">
      <w:headerReference w:type="default" r:id="rId11"/>
      <w:footerReference w:type="default" r:id="rId12"/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0C3E" w14:textId="77777777" w:rsidR="00DF3294" w:rsidRDefault="006D4669">
      <w:pPr>
        <w:spacing w:line="240" w:lineRule="auto"/>
      </w:pPr>
      <w:r>
        <w:separator/>
      </w:r>
    </w:p>
  </w:endnote>
  <w:endnote w:type="continuationSeparator" w:id="0">
    <w:p w14:paraId="60E287FA" w14:textId="77777777" w:rsidR="00DF3294" w:rsidRDefault="006D4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025" w14:textId="3FD41F38" w:rsidR="00676179" w:rsidRPr="00CA08C8" w:rsidRDefault="00B41B3D" w:rsidP="00B41B3D">
    <w:pPr>
      <w:rPr>
        <w:rFonts w:asciiTheme="majorHAnsi" w:hAnsiTheme="majorHAnsi" w:cstheme="majorHAnsi"/>
        <w:b/>
        <w:lang w:val="en-US"/>
      </w:rPr>
    </w:pPr>
    <w:r w:rsidRPr="00BC2889">
      <w:rPr>
        <w:rFonts w:cs="Calibri"/>
        <w:b/>
        <w:color w:val="F36E37"/>
        <w:w w:val="95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BC2889">
      <w:rPr>
        <w:rFonts w:cs="Calibri"/>
        <w:bCs/>
        <w:w w:val="95"/>
        <w:sz w:val="12"/>
        <w:szCs w:val="12"/>
      </w:rPr>
      <w:t>© Office of the Retirement Commissioner</w:t>
    </w:r>
    <w:r w:rsidRPr="00CA08C8">
      <w:rPr>
        <w:rFonts w:asciiTheme="majorHAnsi" w:hAnsiTheme="majorHAnsi" w:cstheme="majorHAnsi"/>
        <w:b/>
        <w:color w:val="808080" w:themeColor="background1" w:themeShade="80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5959" w14:textId="77777777" w:rsidR="00DF3294" w:rsidRDefault="006D4669">
      <w:pPr>
        <w:spacing w:line="240" w:lineRule="auto"/>
      </w:pPr>
      <w:r>
        <w:separator/>
      </w:r>
    </w:p>
  </w:footnote>
  <w:footnote w:type="continuationSeparator" w:id="0">
    <w:p w14:paraId="6DCC6589" w14:textId="77777777" w:rsidR="00DF3294" w:rsidRDefault="006D4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1D5E" w14:textId="31C9581B" w:rsidR="00342BD8" w:rsidRDefault="00297CD3">
    <w:pPr>
      <w:spacing w:line="240" w:lineRule="auto"/>
      <w:contextualSpacing w:val="0"/>
    </w:pPr>
    <w:r w:rsidRPr="00CA08C8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1" locked="0" layoutInCell="1" allowOverlap="1" wp14:anchorId="0D97A0DD" wp14:editId="2210AE7A">
          <wp:simplePos x="0" y="0"/>
          <wp:positionH relativeFrom="page">
            <wp:align>left</wp:align>
          </wp:positionH>
          <wp:positionV relativeFrom="paragraph">
            <wp:posOffset>-3175</wp:posOffset>
          </wp:positionV>
          <wp:extent cx="7558715" cy="10668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33" cy="1070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669">
      <w:rPr>
        <w:rFonts w:ascii="Century Gothic" w:eastAsia="Century Gothic" w:hAnsi="Century Gothic" w:cs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D61"/>
    <w:multiLevelType w:val="multilevel"/>
    <w:tmpl w:val="8CF04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51A01"/>
    <w:multiLevelType w:val="multilevel"/>
    <w:tmpl w:val="8042C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B0764"/>
    <w:multiLevelType w:val="multilevel"/>
    <w:tmpl w:val="578CE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8709E"/>
    <w:multiLevelType w:val="multilevel"/>
    <w:tmpl w:val="36D0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AE6B0B"/>
    <w:multiLevelType w:val="multilevel"/>
    <w:tmpl w:val="AA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834C0"/>
    <w:multiLevelType w:val="multilevel"/>
    <w:tmpl w:val="B290C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A489B"/>
    <w:multiLevelType w:val="hybridMultilevel"/>
    <w:tmpl w:val="6ABE5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70A9"/>
    <w:multiLevelType w:val="multilevel"/>
    <w:tmpl w:val="80B07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BA3943"/>
    <w:multiLevelType w:val="multilevel"/>
    <w:tmpl w:val="FA289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7D3185"/>
    <w:multiLevelType w:val="multilevel"/>
    <w:tmpl w:val="ED3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52BBE"/>
    <w:multiLevelType w:val="multilevel"/>
    <w:tmpl w:val="0152DDD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A076E5"/>
    <w:multiLevelType w:val="multilevel"/>
    <w:tmpl w:val="09C65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894958"/>
    <w:multiLevelType w:val="hybridMultilevel"/>
    <w:tmpl w:val="9AFC2D94"/>
    <w:lvl w:ilvl="0" w:tplc="2C24E068">
      <w:numFmt w:val="bullet"/>
      <w:lvlText w:val="•"/>
      <w:lvlJc w:val="left"/>
      <w:pPr>
        <w:ind w:left="1080" w:hanging="720"/>
      </w:pPr>
      <w:rPr>
        <w:rFonts w:ascii="Calibri" w:eastAsia="Century Gothic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70B3"/>
    <w:multiLevelType w:val="hybridMultilevel"/>
    <w:tmpl w:val="C8CAA26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D0D92"/>
    <w:multiLevelType w:val="multilevel"/>
    <w:tmpl w:val="9036D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197527"/>
    <w:multiLevelType w:val="multilevel"/>
    <w:tmpl w:val="78D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8223D"/>
    <w:multiLevelType w:val="multilevel"/>
    <w:tmpl w:val="742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D6360"/>
    <w:multiLevelType w:val="multilevel"/>
    <w:tmpl w:val="6256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F37012"/>
    <w:multiLevelType w:val="multilevel"/>
    <w:tmpl w:val="484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A31305"/>
    <w:multiLevelType w:val="multilevel"/>
    <w:tmpl w:val="995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151E3E"/>
    <w:multiLevelType w:val="hybridMultilevel"/>
    <w:tmpl w:val="DB421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8706A"/>
    <w:multiLevelType w:val="multilevel"/>
    <w:tmpl w:val="BF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A7F8E"/>
    <w:multiLevelType w:val="hybridMultilevel"/>
    <w:tmpl w:val="FF1E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0592"/>
    <w:multiLevelType w:val="hybridMultilevel"/>
    <w:tmpl w:val="B97C4A46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F9E"/>
    <w:multiLevelType w:val="hybridMultilevel"/>
    <w:tmpl w:val="64823B7C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E177D"/>
    <w:multiLevelType w:val="multilevel"/>
    <w:tmpl w:val="B18A6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6"/>
  </w:num>
  <w:num w:numId="5">
    <w:abstractNumId w:val="14"/>
  </w:num>
  <w:num w:numId="6">
    <w:abstractNumId w:val="10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18"/>
  </w:num>
  <w:num w:numId="12">
    <w:abstractNumId w:val="6"/>
  </w:num>
  <w:num w:numId="13">
    <w:abstractNumId w:val="21"/>
  </w:num>
  <w:num w:numId="14">
    <w:abstractNumId w:val="15"/>
  </w:num>
  <w:num w:numId="15">
    <w:abstractNumId w:val="1"/>
  </w:num>
  <w:num w:numId="16">
    <w:abstractNumId w:val="19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24"/>
  </w:num>
  <w:num w:numId="24">
    <w:abstractNumId w:val="25"/>
  </w:num>
  <w:num w:numId="25">
    <w:abstractNumId w:val="13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8"/>
    <w:rsid w:val="00045779"/>
    <w:rsid w:val="00055D34"/>
    <w:rsid w:val="00057C79"/>
    <w:rsid w:val="00083878"/>
    <w:rsid w:val="00112C3D"/>
    <w:rsid w:val="00196393"/>
    <w:rsid w:val="001A0FD7"/>
    <w:rsid w:val="001A149F"/>
    <w:rsid w:val="001D0D1A"/>
    <w:rsid w:val="001D30D8"/>
    <w:rsid w:val="001E3EDE"/>
    <w:rsid w:val="001F7157"/>
    <w:rsid w:val="0020515E"/>
    <w:rsid w:val="0021700E"/>
    <w:rsid w:val="002955FF"/>
    <w:rsid w:val="00297CD3"/>
    <w:rsid w:val="002F2F74"/>
    <w:rsid w:val="00342BD8"/>
    <w:rsid w:val="00375489"/>
    <w:rsid w:val="003A7A2A"/>
    <w:rsid w:val="003B44B0"/>
    <w:rsid w:val="00411C20"/>
    <w:rsid w:val="00416BF7"/>
    <w:rsid w:val="00474F67"/>
    <w:rsid w:val="00490C39"/>
    <w:rsid w:val="0049735C"/>
    <w:rsid w:val="004A0A82"/>
    <w:rsid w:val="004A6213"/>
    <w:rsid w:val="004D67BA"/>
    <w:rsid w:val="004F4E66"/>
    <w:rsid w:val="004F7800"/>
    <w:rsid w:val="005007A1"/>
    <w:rsid w:val="005115DE"/>
    <w:rsid w:val="00570CC8"/>
    <w:rsid w:val="005819E4"/>
    <w:rsid w:val="00586444"/>
    <w:rsid w:val="005B61A6"/>
    <w:rsid w:val="005E4971"/>
    <w:rsid w:val="0063048A"/>
    <w:rsid w:val="006379FB"/>
    <w:rsid w:val="0064760B"/>
    <w:rsid w:val="00676179"/>
    <w:rsid w:val="0068495F"/>
    <w:rsid w:val="00692371"/>
    <w:rsid w:val="006C68A7"/>
    <w:rsid w:val="006C7F09"/>
    <w:rsid w:val="006D4669"/>
    <w:rsid w:val="006E1472"/>
    <w:rsid w:val="006F2502"/>
    <w:rsid w:val="006F49C4"/>
    <w:rsid w:val="00714870"/>
    <w:rsid w:val="00720BC0"/>
    <w:rsid w:val="0072732D"/>
    <w:rsid w:val="0075005C"/>
    <w:rsid w:val="00792BFB"/>
    <w:rsid w:val="007E6EF8"/>
    <w:rsid w:val="007F72CC"/>
    <w:rsid w:val="008120F1"/>
    <w:rsid w:val="00825E28"/>
    <w:rsid w:val="008863D3"/>
    <w:rsid w:val="0088799E"/>
    <w:rsid w:val="008D1FB4"/>
    <w:rsid w:val="008E6D85"/>
    <w:rsid w:val="008F0EC2"/>
    <w:rsid w:val="0098392D"/>
    <w:rsid w:val="009B212F"/>
    <w:rsid w:val="009E3608"/>
    <w:rsid w:val="00A02614"/>
    <w:rsid w:val="00A2056F"/>
    <w:rsid w:val="00A25DC9"/>
    <w:rsid w:val="00A41CD3"/>
    <w:rsid w:val="00AB0AD7"/>
    <w:rsid w:val="00AC642E"/>
    <w:rsid w:val="00AE21E8"/>
    <w:rsid w:val="00AF3E07"/>
    <w:rsid w:val="00B41B3D"/>
    <w:rsid w:val="00B60112"/>
    <w:rsid w:val="00C63F52"/>
    <w:rsid w:val="00CA08C8"/>
    <w:rsid w:val="00CA17F7"/>
    <w:rsid w:val="00CB0FC2"/>
    <w:rsid w:val="00CF1ECF"/>
    <w:rsid w:val="00CF2B6F"/>
    <w:rsid w:val="00D12022"/>
    <w:rsid w:val="00DA4E00"/>
    <w:rsid w:val="00DB19A4"/>
    <w:rsid w:val="00DC058E"/>
    <w:rsid w:val="00DD3990"/>
    <w:rsid w:val="00DE2E4C"/>
    <w:rsid w:val="00DF3294"/>
    <w:rsid w:val="00E27D22"/>
    <w:rsid w:val="00E65055"/>
    <w:rsid w:val="00E65D6A"/>
    <w:rsid w:val="00F40CDE"/>
    <w:rsid w:val="00F50BEC"/>
    <w:rsid w:val="00FA417F"/>
    <w:rsid w:val="00FB1A82"/>
    <w:rsid w:val="00FC547A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7D42"/>
  <w15:docId w15:val="{73E0FEF3-F9B8-4859-9D74-FD9AADDC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NZ" w:eastAsia="en-A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800"/>
    <w:pPr>
      <w:ind w:left="720"/>
    </w:pPr>
  </w:style>
  <w:style w:type="character" w:styleId="Hyperlink">
    <w:name w:val="Hyperlink"/>
    <w:basedOn w:val="DefaultParagraphFont"/>
    <w:uiPriority w:val="99"/>
    <w:unhideWhenUsed/>
    <w:rsid w:val="004F7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0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B61A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5B61A6"/>
    <w:rPr>
      <w:b/>
      <w:bCs/>
    </w:rPr>
  </w:style>
  <w:style w:type="character" w:customStyle="1" w:styleId="tip">
    <w:name w:val="tip"/>
    <w:basedOn w:val="DefaultParagraphFont"/>
    <w:rsid w:val="00DE2E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6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49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79"/>
  </w:style>
  <w:style w:type="paragraph" w:styleId="Footer">
    <w:name w:val="footer"/>
    <w:basedOn w:val="Normal"/>
    <w:link w:val="FooterChar"/>
    <w:uiPriority w:val="99"/>
    <w:unhideWhenUsed/>
    <w:rsid w:val="006761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79"/>
  </w:style>
  <w:style w:type="table" w:styleId="GridTable3-Accent6">
    <w:name w:val="Grid Table 3 Accent 6"/>
    <w:basedOn w:val="TableNormal"/>
    <w:uiPriority w:val="48"/>
    <w:rsid w:val="002955F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rtedinschools.org.nz/teachers/curriculum-info/pedagogical-design/teachers/curriculum-info/pedagogical-desig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Tista Lythe</dc:creator>
  <cp:lastModifiedBy>Su Min Ahn</cp:lastModifiedBy>
  <cp:revision>17</cp:revision>
  <dcterms:created xsi:type="dcterms:W3CDTF">2021-09-01T03:10:00Z</dcterms:created>
  <dcterms:modified xsi:type="dcterms:W3CDTF">2021-09-01T03:34:00Z</dcterms:modified>
</cp:coreProperties>
</file>