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4019" w14:textId="77777777" w:rsidR="00DC258E" w:rsidRPr="007E62B0" w:rsidRDefault="00DC258E" w:rsidP="00DC258E">
      <w:pPr>
        <w:pStyle w:val="Heading1"/>
      </w:pPr>
      <w:r w:rsidRPr="007E62B0">
        <w:t>Starter Pack</w:t>
      </w:r>
    </w:p>
    <w:p w14:paraId="43A3D7B9" w14:textId="77777777" w:rsidR="00DC258E" w:rsidRPr="00DC258E" w:rsidRDefault="00DC258E" w:rsidP="00DC258E">
      <w:pPr>
        <w:pStyle w:val="H2"/>
      </w:pPr>
      <w:r w:rsidRPr="00DC258E">
        <w:t xml:space="preserve">Quick start teaching guide </w:t>
      </w:r>
    </w:p>
    <w:p w14:paraId="784D7BEB" w14:textId="77777777" w:rsidR="00DC258E" w:rsidRPr="007E62B0" w:rsidRDefault="00DC258E" w:rsidP="00DC258E">
      <w:pPr>
        <w:pStyle w:val="Heading3"/>
      </w:pPr>
      <w:r w:rsidRPr="007E62B0">
        <w:t>Why should I use it?</w:t>
      </w:r>
    </w:p>
    <w:p w14:paraId="0ED4C56A" w14:textId="77777777" w:rsidR="00DC258E" w:rsidRPr="00DC258E" w:rsidRDefault="00DC258E" w:rsidP="00DC258E">
      <w:pPr>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 xml:space="preserve">The purpose of this </w:t>
      </w:r>
      <w:hyperlink r:id="rId10" w:history="1">
        <w:r w:rsidRPr="00DC258E">
          <w:rPr>
            <w:rStyle w:val="Hyperlink"/>
            <w:rFonts w:asciiTheme="minorHAnsi" w:eastAsia="Century Gothic" w:hAnsiTheme="minorHAnsi" w:cstheme="minorHAnsi"/>
            <w:sz w:val="20"/>
            <w:szCs w:val="20"/>
          </w:rPr>
          <w:t>resource</w:t>
        </w:r>
      </w:hyperlink>
      <w:r w:rsidRPr="00DC258E">
        <w:rPr>
          <w:rFonts w:asciiTheme="minorHAnsi" w:eastAsia="Century Gothic" w:hAnsiTheme="minorHAnsi" w:cstheme="minorHAnsi"/>
          <w:sz w:val="20"/>
          <w:szCs w:val="20"/>
        </w:rPr>
        <w:t xml:space="preserve"> is to help students understand key financial capability terms and vocabulary. </w:t>
      </w:r>
    </w:p>
    <w:p w14:paraId="13A632C0" w14:textId="77777777" w:rsidR="00DC258E" w:rsidRPr="00DC258E" w:rsidRDefault="00DC258E" w:rsidP="00DC258E">
      <w:pPr>
        <w:rPr>
          <w:rFonts w:asciiTheme="minorHAnsi" w:eastAsia="Century Gothic" w:hAnsiTheme="minorHAnsi" w:cstheme="minorHAnsi"/>
          <w:sz w:val="20"/>
          <w:szCs w:val="20"/>
        </w:rPr>
      </w:pPr>
    </w:p>
    <w:p w14:paraId="69F5AEEA" w14:textId="77777777" w:rsidR="00DC258E" w:rsidRPr="00DC258E" w:rsidRDefault="00DC258E" w:rsidP="00DC258E">
      <w:pPr>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It can be used:</w:t>
      </w:r>
    </w:p>
    <w:p w14:paraId="11442592" w14:textId="77777777" w:rsidR="00DC258E" w:rsidRPr="00DC258E" w:rsidRDefault="00DC258E" w:rsidP="00DC258E">
      <w:pPr>
        <w:numPr>
          <w:ilvl w:val="0"/>
          <w:numId w:val="8"/>
        </w:numPr>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 xml:space="preserve">as a set of lessons to use prior to teaching the year 9/10 Sorted in Schools online teaching and learning packages </w:t>
      </w:r>
    </w:p>
    <w:p w14:paraId="7E620E5A" w14:textId="77777777" w:rsidR="00DC258E" w:rsidRPr="00DC258E" w:rsidRDefault="00DC258E" w:rsidP="00DC258E">
      <w:pPr>
        <w:numPr>
          <w:ilvl w:val="0"/>
          <w:numId w:val="8"/>
        </w:numPr>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as a set of stand-alone lessons to teach financial capability with whānau groups</w:t>
      </w:r>
    </w:p>
    <w:p w14:paraId="12CD9B5E" w14:textId="77777777" w:rsidR="00DC258E" w:rsidRPr="00DC258E" w:rsidRDefault="00DC258E" w:rsidP="00DC258E">
      <w:pPr>
        <w:numPr>
          <w:ilvl w:val="0"/>
          <w:numId w:val="8"/>
        </w:numPr>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to check students’ prior knowledge</w:t>
      </w:r>
    </w:p>
    <w:p w14:paraId="74CE249C" w14:textId="77777777" w:rsidR="00DC258E" w:rsidRPr="00DC258E" w:rsidRDefault="00DC258E" w:rsidP="00DC258E">
      <w:pPr>
        <w:numPr>
          <w:ilvl w:val="0"/>
          <w:numId w:val="8"/>
        </w:numPr>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as an introductory resource for years 7/ 8</w:t>
      </w:r>
    </w:p>
    <w:p w14:paraId="235F6F1B" w14:textId="77777777" w:rsidR="00DC258E" w:rsidRDefault="00DC258E" w:rsidP="00DC258E">
      <w:pPr>
        <w:rPr>
          <w:rFonts w:ascii="Century Gothic" w:eastAsia="Century Gothic" w:hAnsi="Century Gothic" w:cs="Century Gothic"/>
          <w:sz w:val="20"/>
          <w:szCs w:val="20"/>
        </w:rPr>
      </w:pPr>
    </w:p>
    <w:p w14:paraId="1F363128" w14:textId="77777777" w:rsidR="00DC258E" w:rsidRPr="007E62B0" w:rsidRDefault="00DC258E" w:rsidP="00DC258E">
      <w:pPr>
        <w:pStyle w:val="Heading3"/>
      </w:pPr>
      <w:r w:rsidRPr="007E62B0">
        <w:t>What’s in it?</w:t>
      </w:r>
    </w:p>
    <w:tbl>
      <w:tblPr>
        <w:tblW w:w="977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2400"/>
        <w:gridCol w:w="1380"/>
        <w:gridCol w:w="1030"/>
        <w:gridCol w:w="980"/>
        <w:gridCol w:w="3981"/>
      </w:tblGrid>
      <w:tr w:rsidR="00DC258E" w14:paraId="425F5815" w14:textId="77777777" w:rsidTr="008722FB">
        <w:tc>
          <w:tcPr>
            <w:tcW w:w="2400" w:type="dxa"/>
            <w:shd w:val="clear" w:color="auto" w:fill="FF6E32"/>
            <w:tcMar>
              <w:top w:w="100" w:type="dxa"/>
              <w:left w:w="100" w:type="dxa"/>
              <w:bottom w:w="100" w:type="dxa"/>
              <w:right w:w="100" w:type="dxa"/>
            </w:tcMar>
          </w:tcPr>
          <w:p w14:paraId="4D923825"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b/>
                <w:color w:val="FFFFFF" w:themeColor="background1"/>
                <w:sz w:val="20"/>
                <w:szCs w:val="20"/>
              </w:rPr>
            </w:pPr>
            <w:r w:rsidRPr="00DC258E">
              <w:rPr>
                <w:rFonts w:asciiTheme="minorHAnsi" w:eastAsia="Century Gothic" w:hAnsiTheme="minorHAnsi" w:cstheme="minorHAnsi"/>
                <w:b/>
                <w:color w:val="FFFFFF" w:themeColor="background1"/>
                <w:sz w:val="20"/>
                <w:szCs w:val="20"/>
              </w:rPr>
              <w:t xml:space="preserve">MODULE </w:t>
            </w:r>
          </w:p>
        </w:tc>
        <w:tc>
          <w:tcPr>
            <w:tcW w:w="1380" w:type="dxa"/>
            <w:shd w:val="clear" w:color="auto" w:fill="FF6E32"/>
            <w:tcMar>
              <w:top w:w="100" w:type="dxa"/>
              <w:left w:w="100" w:type="dxa"/>
              <w:bottom w:w="100" w:type="dxa"/>
              <w:right w:w="100" w:type="dxa"/>
            </w:tcMar>
          </w:tcPr>
          <w:p w14:paraId="7D80B2A3"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b/>
                <w:color w:val="FFFFFF" w:themeColor="background1"/>
                <w:sz w:val="20"/>
                <w:szCs w:val="20"/>
              </w:rPr>
            </w:pPr>
            <w:r w:rsidRPr="00DC258E">
              <w:rPr>
                <w:rFonts w:asciiTheme="minorHAnsi" w:eastAsia="Century Gothic" w:hAnsiTheme="minorHAnsi" w:cstheme="minorHAnsi"/>
                <w:b/>
                <w:color w:val="FFFFFF" w:themeColor="background1"/>
                <w:sz w:val="20"/>
                <w:szCs w:val="20"/>
              </w:rPr>
              <w:t>RESOURCES</w:t>
            </w:r>
          </w:p>
        </w:tc>
        <w:tc>
          <w:tcPr>
            <w:tcW w:w="1030" w:type="dxa"/>
            <w:shd w:val="clear" w:color="auto" w:fill="FF6E32"/>
            <w:tcMar>
              <w:top w:w="100" w:type="dxa"/>
              <w:left w:w="100" w:type="dxa"/>
              <w:bottom w:w="100" w:type="dxa"/>
              <w:right w:w="100" w:type="dxa"/>
            </w:tcMar>
          </w:tcPr>
          <w:p w14:paraId="4D521731"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b/>
                <w:color w:val="FFFFFF" w:themeColor="background1"/>
                <w:sz w:val="20"/>
                <w:szCs w:val="20"/>
              </w:rPr>
            </w:pPr>
            <w:r w:rsidRPr="00DC258E">
              <w:rPr>
                <w:rFonts w:asciiTheme="minorHAnsi" w:eastAsia="Century Gothic" w:hAnsiTheme="minorHAnsi" w:cstheme="minorHAnsi"/>
                <w:b/>
                <w:color w:val="FFFFFF" w:themeColor="background1"/>
                <w:sz w:val="20"/>
                <w:szCs w:val="20"/>
              </w:rPr>
              <w:t>VIDEO</w:t>
            </w:r>
          </w:p>
        </w:tc>
        <w:tc>
          <w:tcPr>
            <w:tcW w:w="980" w:type="dxa"/>
            <w:shd w:val="clear" w:color="auto" w:fill="FF6E32"/>
            <w:tcMar>
              <w:top w:w="100" w:type="dxa"/>
              <w:left w:w="100" w:type="dxa"/>
              <w:bottom w:w="100" w:type="dxa"/>
              <w:right w:w="100" w:type="dxa"/>
            </w:tcMar>
          </w:tcPr>
          <w:p w14:paraId="615095EE"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b/>
                <w:color w:val="FFFFFF" w:themeColor="background1"/>
                <w:sz w:val="20"/>
                <w:szCs w:val="20"/>
              </w:rPr>
            </w:pPr>
            <w:r w:rsidRPr="00DC258E">
              <w:rPr>
                <w:rFonts w:asciiTheme="minorHAnsi" w:eastAsia="Century Gothic" w:hAnsiTheme="minorHAnsi" w:cstheme="minorHAnsi"/>
                <w:b/>
                <w:color w:val="FFFFFF" w:themeColor="background1"/>
                <w:sz w:val="20"/>
                <w:szCs w:val="20"/>
              </w:rPr>
              <w:t>QUIZ</w:t>
            </w:r>
          </w:p>
        </w:tc>
        <w:tc>
          <w:tcPr>
            <w:tcW w:w="3981" w:type="dxa"/>
            <w:shd w:val="clear" w:color="auto" w:fill="FF6E32"/>
            <w:tcMar>
              <w:top w:w="100" w:type="dxa"/>
              <w:left w:w="100" w:type="dxa"/>
              <w:bottom w:w="100" w:type="dxa"/>
              <w:right w:w="100" w:type="dxa"/>
            </w:tcMar>
          </w:tcPr>
          <w:p w14:paraId="6B94B136"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b/>
                <w:color w:val="FFFFFF" w:themeColor="background1"/>
                <w:sz w:val="20"/>
                <w:szCs w:val="20"/>
              </w:rPr>
            </w:pPr>
            <w:r w:rsidRPr="00DC258E">
              <w:rPr>
                <w:rFonts w:asciiTheme="minorHAnsi" w:eastAsia="Century Gothic" w:hAnsiTheme="minorHAnsi" w:cstheme="minorHAnsi"/>
                <w:b/>
                <w:color w:val="FFFFFF" w:themeColor="background1"/>
                <w:sz w:val="20"/>
                <w:szCs w:val="20"/>
              </w:rPr>
              <w:t>FINANCIAL VOCABULARY</w:t>
            </w:r>
          </w:p>
        </w:tc>
      </w:tr>
      <w:tr w:rsidR="00DC258E" w14:paraId="577D6B1F" w14:textId="77777777" w:rsidTr="008722FB">
        <w:trPr>
          <w:trHeight w:val="440"/>
        </w:trPr>
        <w:tc>
          <w:tcPr>
            <w:tcW w:w="2400" w:type="dxa"/>
            <w:shd w:val="clear" w:color="auto" w:fill="FCE5CD"/>
            <w:tcMar>
              <w:top w:w="100" w:type="dxa"/>
              <w:left w:w="100" w:type="dxa"/>
              <w:bottom w:w="100" w:type="dxa"/>
              <w:right w:w="100" w:type="dxa"/>
            </w:tcMar>
          </w:tcPr>
          <w:p w14:paraId="5EC2F405"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A beginner guide to money</w:t>
            </w:r>
          </w:p>
        </w:tc>
        <w:tc>
          <w:tcPr>
            <w:tcW w:w="7371" w:type="dxa"/>
            <w:gridSpan w:val="4"/>
            <w:shd w:val="clear" w:color="auto" w:fill="FCE5CD"/>
            <w:tcMar>
              <w:top w:w="100" w:type="dxa"/>
              <w:left w:w="100" w:type="dxa"/>
              <w:bottom w:w="100" w:type="dxa"/>
              <w:right w:w="100" w:type="dxa"/>
            </w:tcMar>
            <w:vAlign w:val="center"/>
          </w:tcPr>
          <w:p w14:paraId="78184E36" w14:textId="77777777" w:rsidR="00DC258E" w:rsidRPr="00DC258E" w:rsidRDefault="00DC258E" w:rsidP="008722FB">
            <w:pPr>
              <w:rPr>
                <w:rFonts w:asciiTheme="minorHAnsi" w:eastAsia="Century Gothic" w:hAnsiTheme="minorHAnsi" w:cstheme="minorHAnsi"/>
                <w:sz w:val="20"/>
                <w:szCs w:val="20"/>
              </w:rPr>
            </w:pPr>
            <w:r w:rsidRPr="00DC258E">
              <w:rPr>
                <w:rFonts w:asciiTheme="minorHAnsi" w:eastAsia="Century Gothic" w:hAnsiTheme="minorHAnsi" w:cstheme="minorHAnsi"/>
                <w:sz w:val="18"/>
                <w:szCs w:val="18"/>
              </w:rPr>
              <w:t>An introduction to the teaching and learning modules.</w:t>
            </w:r>
          </w:p>
        </w:tc>
      </w:tr>
      <w:tr w:rsidR="00DC258E" w14:paraId="1F19AD88" w14:textId="77777777" w:rsidTr="008722FB">
        <w:tc>
          <w:tcPr>
            <w:tcW w:w="2400" w:type="dxa"/>
            <w:shd w:val="clear" w:color="auto" w:fill="auto"/>
            <w:tcMar>
              <w:top w:w="100" w:type="dxa"/>
              <w:left w:w="100" w:type="dxa"/>
              <w:bottom w:w="100" w:type="dxa"/>
              <w:right w:w="100" w:type="dxa"/>
            </w:tcMar>
            <w:vAlign w:val="center"/>
          </w:tcPr>
          <w:p w14:paraId="018367B2"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SPENDING YOUR MONEY</w:t>
            </w:r>
          </w:p>
        </w:tc>
        <w:tc>
          <w:tcPr>
            <w:tcW w:w="1380" w:type="dxa"/>
            <w:shd w:val="clear" w:color="auto" w:fill="auto"/>
            <w:tcMar>
              <w:top w:w="100" w:type="dxa"/>
              <w:left w:w="100" w:type="dxa"/>
              <w:bottom w:w="100" w:type="dxa"/>
              <w:right w:w="100" w:type="dxa"/>
            </w:tcMar>
            <w:vAlign w:val="center"/>
          </w:tcPr>
          <w:p w14:paraId="292DCC91" w14:textId="77777777" w:rsidR="00DC258E" w:rsidRPr="00DC258E" w:rsidRDefault="00DC258E" w:rsidP="008722FB">
            <w:pPr>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397D9FCC" wp14:editId="236822E3">
                  <wp:extent cx="190500" cy="210911"/>
                  <wp:effectExtent l="0" t="0" r="0" b="0"/>
                  <wp:docPr id="9"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1030" w:type="dxa"/>
            <w:shd w:val="clear" w:color="auto" w:fill="auto"/>
            <w:tcMar>
              <w:top w:w="100" w:type="dxa"/>
              <w:left w:w="100" w:type="dxa"/>
              <w:bottom w:w="100" w:type="dxa"/>
              <w:right w:w="100" w:type="dxa"/>
            </w:tcMar>
            <w:vAlign w:val="center"/>
          </w:tcPr>
          <w:p w14:paraId="5D0D934B"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6D0F26C5" wp14:editId="794F3844">
                  <wp:extent cx="190500" cy="210911"/>
                  <wp:effectExtent l="0" t="0" r="0" b="0"/>
                  <wp:docPr id="7"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980" w:type="dxa"/>
            <w:shd w:val="clear" w:color="auto" w:fill="auto"/>
            <w:tcMar>
              <w:top w:w="100" w:type="dxa"/>
              <w:left w:w="100" w:type="dxa"/>
              <w:bottom w:w="100" w:type="dxa"/>
              <w:right w:w="100" w:type="dxa"/>
            </w:tcMar>
            <w:vAlign w:val="center"/>
          </w:tcPr>
          <w:p w14:paraId="6CD88790"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6F2E8DB3" wp14:editId="67FEF5C0">
                  <wp:extent cx="190500" cy="210911"/>
                  <wp:effectExtent l="0" t="0" r="0" b="0"/>
                  <wp:docPr id="13"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3981" w:type="dxa"/>
            <w:shd w:val="clear" w:color="auto" w:fill="auto"/>
            <w:tcMar>
              <w:top w:w="100" w:type="dxa"/>
              <w:left w:w="100" w:type="dxa"/>
              <w:bottom w:w="100" w:type="dxa"/>
              <w:right w:w="100" w:type="dxa"/>
            </w:tcMar>
            <w:vAlign w:val="center"/>
          </w:tcPr>
          <w:p w14:paraId="49D58344"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bCs/>
                <w:color w:val="7F7F7F" w:themeColor="text1" w:themeTint="80"/>
                <w:sz w:val="16"/>
                <w:szCs w:val="14"/>
              </w:rPr>
            </w:pPr>
            <w:r w:rsidRPr="00DC258E">
              <w:rPr>
                <w:rFonts w:asciiTheme="minorHAnsi" w:eastAsia="Century Gothic" w:hAnsiTheme="minorHAnsi" w:cstheme="minorHAnsi"/>
                <w:bCs/>
                <w:color w:val="7F7F7F" w:themeColor="text1" w:themeTint="80"/>
                <w:sz w:val="16"/>
                <w:szCs w:val="14"/>
              </w:rPr>
              <w:t>bank, bank account, savings, daily expenses, ATM, bills, online banking, deposit, withdrawal, interest payments, bank fees, goods and services, EFTPOS, credit, layby, cash payments, debit, financial advice, needs and wants, good debt, bad debt, online shopping, GST.</w:t>
            </w:r>
          </w:p>
        </w:tc>
      </w:tr>
      <w:tr w:rsidR="00DC258E" w14:paraId="26C3D7AF" w14:textId="77777777" w:rsidTr="008722FB">
        <w:trPr>
          <w:trHeight w:val="1340"/>
        </w:trPr>
        <w:tc>
          <w:tcPr>
            <w:tcW w:w="2400" w:type="dxa"/>
            <w:shd w:val="clear" w:color="auto" w:fill="auto"/>
            <w:tcMar>
              <w:top w:w="100" w:type="dxa"/>
              <w:left w:w="100" w:type="dxa"/>
              <w:bottom w:w="100" w:type="dxa"/>
              <w:right w:w="100" w:type="dxa"/>
            </w:tcMar>
            <w:vAlign w:val="center"/>
          </w:tcPr>
          <w:p w14:paraId="37230E7A"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WHEN YOU'RE WORKING</w:t>
            </w:r>
          </w:p>
        </w:tc>
        <w:tc>
          <w:tcPr>
            <w:tcW w:w="1380" w:type="dxa"/>
            <w:shd w:val="clear" w:color="auto" w:fill="auto"/>
            <w:tcMar>
              <w:top w:w="100" w:type="dxa"/>
              <w:left w:w="100" w:type="dxa"/>
              <w:bottom w:w="100" w:type="dxa"/>
              <w:right w:w="100" w:type="dxa"/>
            </w:tcMar>
            <w:vAlign w:val="center"/>
          </w:tcPr>
          <w:p w14:paraId="56EF3084"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3B26ABFB" wp14:editId="55A07EDE">
                  <wp:extent cx="190500" cy="210911"/>
                  <wp:effectExtent l="0" t="0" r="0" b="0"/>
                  <wp:docPr id="14"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1030" w:type="dxa"/>
            <w:shd w:val="clear" w:color="auto" w:fill="auto"/>
            <w:tcMar>
              <w:top w:w="100" w:type="dxa"/>
              <w:left w:w="100" w:type="dxa"/>
              <w:bottom w:w="100" w:type="dxa"/>
              <w:right w:w="100" w:type="dxa"/>
            </w:tcMar>
            <w:vAlign w:val="center"/>
          </w:tcPr>
          <w:p w14:paraId="31251BC2"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092FFDD1" wp14:editId="1128F55F">
                  <wp:extent cx="190500" cy="210911"/>
                  <wp:effectExtent l="0" t="0" r="0" b="0"/>
                  <wp:docPr id="8"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980" w:type="dxa"/>
            <w:shd w:val="clear" w:color="auto" w:fill="auto"/>
            <w:tcMar>
              <w:top w:w="100" w:type="dxa"/>
              <w:left w:w="100" w:type="dxa"/>
              <w:bottom w:w="100" w:type="dxa"/>
              <w:right w:w="100" w:type="dxa"/>
            </w:tcMar>
            <w:vAlign w:val="center"/>
          </w:tcPr>
          <w:p w14:paraId="77A6B937"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6B5A0B0F" wp14:editId="78673E93">
                  <wp:extent cx="190500" cy="210911"/>
                  <wp:effectExtent l="0" t="0" r="0" b="0"/>
                  <wp:docPr id="11"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3981" w:type="dxa"/>
            <w:shd w:val="clear" w:color="auto" w:fill="auto"/>
            <w:tcMar>
              <w:top w:w="100" w:type="dxa"/>
              <w:left w:w="100" w:type="dxa"/>
              <w:bottom w:w="100" w:type="dxa"/>
              <w:right w:w="100" w:type="dxa"/>
            </w:tcMar>
            <w:vAlign w:val="center"/>
          </w:tcPr>
          <w:p w14:paraId="521C67B8"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bCs/>
                <w:color w:val="7F7F7F" w:themeColor="text1" w:themeTint="80"/>
                <w:sz w:val="16"/>
                <w:szCs w:val="14"/>
              </w:rPr>
            </w:pPr>
            <w:r w:rsidRPr="00DC258E">
              <w:rPr>
                <w:rFonts w:asciiTheme="minorHAnsi" w:eastAsia="Century Gothic" w:hAnsiTheme="minorHAnsi" w:cstheme="minorHAnsi"/>
                <w:bCs/>
                <w:color w:val="7F7F7F" w:themeColor="text1" w:themeTint="80"/>
                <w:sz w:val="16"/>
                <w:szCs w:val="14"/>
              </w:rPr>
              <w:t>wages, salary, minimum wage, gross pay, net pay, taxes, KiwiSaver, deduction. Income, income tax, repayments, payslip, Inland Revenue Department (IRD), IRD number, sick leave, holiday leave, pay period, overtime, refund, Financial year.</w:t>
            </w:r>
          </w:p>
        </w:tc>
      </w:tr>
      <w:tr w:rsidR="00DC258E" w14:paraId="161C4857" w14:textId="77777777" w:rsidTr="008722FB">
        <w:tc>
          <w:tcPr>
            <w:tcW w:w="2400" w:type="dxa"/>
            <w:shd w:val="clear" w:color="auto" w:fill="auto"/>
            <w:tcMar>
              <w:top w:w="100" w:type="dxa"/>
              <w:left w:w="100" w:type="dxa"/>
              <w:bottom w:w="100" w:type="dxa"/>
              <w:right w:w="100" w:type="dxa"/>
            </w:tcMar>
            <w:vAlign w:val="center"/>
          </w:tcPr>
          <w:p w14:paraId="4236263F"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SAVING YOUR MONEY</w:t>
            </w:r>
          </w:p>
        </w:tc>
        <w:tc>
          <w:tcPr>
            <w:tcW w:w="1380" w:type="dxa"/>
            <w:shd w:val="clear" w:color="auto" w:fill="auto"/>
            <w:tcMar>
              <w:top w:w="100" w:type="dxa"/>
              <w:left w:w="100" w:type="dxa"/>
              <w:bottom w:w="100" w:type="dxa"/>
              <w:right w:w="100" w:type="dxa"/>
            </w:tcMar>
            <w:vAlign w:val="center"/>
          </w:tcPr>
          <w:p w14:paraId="32661847" w14:textId="77777777" w:rsidR="00DC258E" w:rsidRPr="00DC258E" w:rsidRDefault="00DC258E" w:rsidP="008722FB">
            <w:pPr>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2BD87E9F" wp14:editId="2B7E5EEC">
                  <wp:extent cx="190500" cy="210911"/>
                  <wp:effectExtent l="0" t="0" r="0" b="0"/>
                  <wp:docPr id="10"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1030" w:type="dxa"/>
            <w:shd w:val="clear" w:color="auto" w:fill="auto"/>
            <w:tcMar>
              <w:top w:w="100" w:type="dxa"/>
              <w:left w:w="100" w:type="dxa"/>
              <w:bottom w:w="100" w:type="dxa"/>
              <w:right w:w="100" w:type="dxa"/>
            </w:tcMar>
            <w:vAlign w:val="center"/>
          </w:tcPr>
          <w:p w14:paraId="11BE2A05"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2A0C5050" wp14:editId="3571D8F7">
                  <wp:extent cx="190500" cy="210911"/>
                  <wp:effectExtent l="0" t="0" r="0" b="0"/>
                  <wp:docPr id="12"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980" w:type="dxa"/>
            <w:shd w:val="clear" w:color="auto" w:fill="auto"/>
            <w:tcMar>
              <w:top w:w="100" w:type="dxa"/>
              <w:left w:w="100" w:type="dxa"/>
              <w:bottom w:w="100" w:type="dxa"/>
              <w:right w:w="100" w:type="dxa"/>
            </w:tcMar>
            <w:vAlign w:val="center"/>
          </w:tcPr>
          <w:p w14:paraId="475ECD92"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6B9D55A4" wp14:editId="0DEB7396">
                  <wp:extent cx="190500" cy="210911"/>
                  <wp:effectExtent l="0" t="0" r="0" b="0"/>
                  <wp:docPr id="6"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3981" w:type="dxa"/>
            <w:shd w:val="clear" w:color="auto" w:fill="auto"/>
            <w:tcMar>
              <w:top w:w="100" w:type="dxa"/>
              <w:left w:w="100" w:type="dxa"/>
              <w:bottom w:w="100" w:type="dxa"/>
              <w:right w:w="100" w:type="dxa"/>
            </w:tcMar>
            <w:vAlign w:val="center"/>
          </w:tcPr>
          <w:p w14:paraId="1B012605"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bCs/>
                <w:color w:val="7F7F7F" w:themeColor="text1" w:themeTint="80"/>
                <w:sz w:val="16"/>
                <w:szCs w:val="14"/>
              </w:rPr>
            </w:pPr>
            <w:r w:rsidRPr="00DC258E">
              <w:rPr>
                <w:rFonts w:asciiTheme="minorHAnsi" w:eastAsia="Century Gothic" w:hAnsiTheme="minorHAnsi" w:cstheme="minorHAnsi"/>
                <w:bCs/>
                <w:color w:val="7F7F7F" w:themeColor="text1" w:themeTint="80"/>
                <w:sz w:val="16"/>
                <w:szCs w:val="14"/>
              </w:rPr>
              <w:t>savings, delayed gratification, regularity, purpose, emergency fund, interest on savings, financial advice, interest rates, short term deposits, long term deposit.</w:t>
            </w:r>
          </w:p>
        </w:tc>
      </w:tr>
      <w:tr w:rsidR="00DC258E" w14:paraId="2B37E717" w14:textId="77777777" w:rsidTr="008722FB">
        <w:tc>
          <w:tcPr>
            <w:tcW w:w="2400" w:type="dxa"/>
            <w:shd w:val="clear" w:color="auto" w:fill="auto"/>
            <w:tcMar>
              <w:top w:w="100" w:type="dxa"/>
              <w:left w:w="100" w:type="dxa"/>
              <w:bottom w:w="100" w:type="dxa"/>
              <w:right w:w="100" w:type="dxa"/>
            </w:tcMar>
            <w:vAlign w:val="center"/>
          </w:tcPr>
          <w:p w14:paraId="560FDFC3"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sz w:val="20"/>
                <w:szCs w:val="20"/>
              </w:rPr>
            </w:pPr>
            <w:r w:rsidRPr="00DC258E">
              <w:rPr>
                <w:rFonts w:asciiTheme="minorHAnsi" w:eastAsia="Century Gothic" w:hAnsiTheme="minorHAnsi" w:cstheme="minorHAnsi"/>
                <w:sz w:val="20"/>
                <w:szCs w:val="20"/>
              </w:rPr>
              <w:t>BORROWING MONEY</w:t>
            </w:r>
          </w:p>
        </w:tc>
        <w:tc>
          <w:tcPr>
            <w:tcW w:w="1380" w:type="dxa"/>
            <w:shd w:val="clear" w:color="auto" w:fill="auto"/>
            <w:tcMar>
              <w:top w:w="100" w:type="dxa"/>
              <w:left w:w="100" w:type="dxa"/>
              <w:bottom w:w="100" w:type="dxa"/>
              <w:right w:w="100" w:type="dxa"/>
            </w:tcMar>
            <w:vAlign w:val="center"/>
          </w:tcPr>
          <w:p w14:paraId="3A08117C"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1CBDF07A" wp14:editId="3DBF2787">
                  <wp:extent cx="190500" cy="210911"/>
                  <wp:effectExtent l="0" t="0" r="0" b="0"/>
                  <wp:docPr id="5"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1030" w:type="dxa"/>
            <w:shd w:val="clear" w:color="auto" w:fill="auto"/>
            <w:tcMar>
              <w:top w:w="100" w:type="dxa"/>
              <w:left w:w="100" w:type="dxa"/>
              <w:bottom w:w="100" w:type="dxa"/>
              <w:right w:w="100" w:type="dxa"/>
            </w:tcMar>
            <w:vAlign w:val="center"/>
          </w:tcPr>
          <w:p w14:paraId="62938D20"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695C2A27" wp14:editId="0FC9F848">
                  <wp:extent cx="190500" cy="210911"/>
                  <wp:effectExtent l="0" t="0" r="0" b="0"/>
                  <wp:docPr id="2"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980" w:type="dxa"/>
            <w:shd w:val="clear" w:color="auto" w:fill="auto"/>
            <w:tcMar>
              <w:top w:w="100" w:type="dxa"/>
              <w:left w:w="100" w:type="dxa"/>
              <w:bottom w:w="100" w:type="dxa"/>
              <w:right w:w="100" w:type="dxa"/>
            </w:tcMar>
            <w:vAlign w:val="center"/>
          </w:tcPr>
          <w:p w14:paraId="5199DE9D"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color w:val="FF6E32"/>
                <w:sz w:val="24"/>
                <w:szCs w:val="24"/>
              </w:rPr>
            </w:pPr>
            <w:r w:rsidRPr="00DC258E">
              <w:rPr>
                <w:rFonts w:asciiTheme="minorHAnsi" w:eastAsia="Century Gothic" w:hAnsiTheme="minorHAnsi" w:cstheme="minorHAnsi"/>
                <w:noProof/>
                <w:color w:val="FF6E32"/>
                <w:sz w:val="24"/>
                <w:szCs w:val="24"/>
              </w:rPr>
              <w:drawing>
                <wp:inline distT="114300" distB="114300" distL="114300" distR="114300" wp14:anchorId="52469B07" wp14:editId="79B63035">
                  <wp:extent cx="190500" cy="210911"/>
                  <wp:effectExtent l="0" t="0" r="0" b="0"/>
                  <wp:docPr id="4"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3981" w:type="dxa"/>
            <w:shd w:val="clear" w:color="auto" w:fill="auto"/>
            <w:tcMar>
              <w:top w:w="100" w:type="dxa"/>
              <w:left w:w="100" w:type="dxa"/>
              <w:bottom w:w="100" w:type="dxa"/>
              <w:right w:w="100" w:type="dxa"/>
            </w:tcMar>
            <w:vAlign w:val="center"/>
          </w:tcPr>
          <w:p w14:paraId="16FE0CA6"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bCs/>
                <w:color w:val="7F7F7F" w:themeColor="text1" w:themeTint="80"/>
                <w:sz w:val="16"/>
                <w:szCs w:val="14"/>
              </w:rPr>
            </w:pPr>
            <w:r w:rsidRPr="00DC258E">
              <w:rPr>
                <w:rFonts w:asciiTheme="minorHAnsi" w:eastAsia="Century Gothic" w:hAnsiTheme="minorHAnsi" w:cstheme="minorHAnsi"/>
                <w:bCs/>
                <w:color w:val="7F7F7F" w:themeColor="text1" w:themeTint="80"/>
                <w:sz w:val="16"/>
                <w:szCs w:val="14"/>
              </w:rPr>
              <w:t>borrowing, interest, money lenders, banks, loan, contract, loan sharks, loan company, bank charges, quick cash offer, credit, debt, good debt, bad debt,</w:t>
            </w:r>
          </w:p>
        </w:tc>
      </w:tr>
      <w:tr w:rsidR="00DC258E" w14:paraId="58F930A8" w14:textId="77777777" w:rsidTr="008722FB">
        <w:trPr>
          <w:trHeight w:val="440"/>
        </w:trPr>
        <w:tc>
          <w:tcPr>
            <w:tcW w:w="2400" w:type="dxa"/>
            <w:shd w:val="clear" w:color="auto" w:fill="FCE5CD"/>
            <w:tcMar>
              <w:top w:w="100" w:type="dxa"/>
              <w:left w:w="100" w:type="dxa"/>
              <w:bottom w:w="100" w:type="dxa"/>
              <w:right w:w="100" w:type="dxa"/>
            </w:tcMar>
            <w:vAlign w:val="center"/>
          </w:tcPr>
          <w:p w14:paraId="1AA92C55"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sz w:val="18"/>
                <w:szCs w:val="18"/>
              </w:rPr>
            </w:pPr>
            <w:r w:rsidRPr="00DC258E">
              <w:rPr>
                <w:rFonts w:asciiTheme="minorHAnsi" w:eastAsia="Century Gothic" w:hAnsiTheme="minorHAnsi" w:cstheme="minorHAnsi"/>
                <w:sz w:val="18"/>
                <w:szCs w:val="18"/>
              </w:rPr>
              <w:t xml:space="preserve">CHALLENGES </w:t>
            </w:r>
          </w:p>
          <w:p w14:paraId="67167D96"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sz w:val="18"/>
                <w:szCs w:val="18"/>
              </w:rPr>
            </w:pPr>
          </w:p>
          <w:p w14:paraId="64DCD2FC" w14:textId="77777777" w:rsidR="00DC258E" w:rsidRPr="00DC258E" w:rsidRDefault="00DC258E" w:rsidP="00DC258E">
            <w:pPr>
              <w:pStyle w:val="ListParagraph"/>
              <w:widowControl w:val="0"/>
              <w:numPr>
                <w:ilvl w:val="0"/>
                <w:numId w:val="5"/>
              </w:numPr>
              <w:pBdr>
                <w:top w:val="nil"/>
                <w:left w:val="nil"/>
                <w:bottom w:val="nil"/>
                <w:right w:val="nil"/>
                <w:between w:val="nil"/>
              </w:pBdr>
              <w:spacing w:line="240" w:lineRule="auto"/>
              <w:ind w:left="321"/>
              <w:rPr>
                <w:rFonts w:asciiTheme="minorHAnsi" w:eastAsia="Century Gothic" w:hAnsiTheme="minorHAnsi" w:cstheme="minorHAnsi"/>
                <w:sz w:val="18"/>
                <w:szCs w:val="18"/>
              </w:rPr>
            </w:pPr>
            <w:r w:rsidRPr="00DC258E">
              <w:rPr>
                <w:rFonts w:asciiTheme="minorHAnsi" w:eastAsia="Century Gothic" w:hAnsiTheme="minorHAnsi" w:cstheme="minorHAnsi"/>
                <w:sz w:val="18"/>
                <w:szCs w:val="18"/>
              </w:rPr>
              <w:t>Plan a dance party</w:t>
            </w:r>
          </w:p>
          <w:p w14:paraId="0696F22E" w14:textId="77777777" w:rsidR="00DC258E" w:rsidRPr="00DC258E" w:rsidRDefault="00DC258E" w:rsidP="00DC258E">
            <w:pPr>
              <w:pStyle w:val="ListParagraph"/>
              <w:widowControl w:val="0"/>
              <w:numPr>
                <w:ilvl w:val="0"/>
                <w:numId w:val="5"/>
              </w:numPr>
              <w:pBdr>
                <w:top w:val="nil"/>
                <w:left w:val="nil"/>
                <w:bottom w:val="nil"/>
                <w:right w:val="nil"/>
                <w:between w:val="nil"/>
              </w:pBdr>
              <w:spacing w:line="240" w:lineRule="auto"/>
              <w:ind w:left="321"/>
              <w:rPr>
                <w:rFonts w:asciiTheme="minorHAnsi" w:eastAsia="Century Gothic" w:hAnsiTheme="minorHAnsi" w:cstheme="minorHAnsi"/>
                <w:sz w:val="20"/>
                <w:szCs w:val="20"/>
              </w:rPr>
            </w:pPr>
            <w:r w:rsidRPr="00DC258E">
              <w:rPr>
                <w:rFonts w:asciiTheme="minorHAnsi" w:eastAsia="Century Gothic" w:hAnsiTheme="minorHAnsi" w:cstheme="minorHAnsi"/>
                <w:sz w:val="18"/>
                <w:szCs w:val="18"/>
              </w:rPr>
              <w:t>Plan an out of town sports trip</w:t>
            </w:r>
          </w:p>
        </w:tc>
        <w:tc>
          <w:tcPr>
            <w:tcW w:w="1380" w:type="dxa"/>
            <w:shd w:val="clear" w:color="auto" w:fill="FCE5CD"/>
            <w:tcMar>
              <w:top w:w="100" w:type="dxa"/>
              <w:left w:w="100" w:type="dxa"/>
              <w:bottom w:w="100" w:type="dxa"/>
              <w:right w:w="100" w:type="dxa"/>
            </w:tcMar>
          </w:tcPr>
          <w:p w14:paraId="67D58003"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sz w:val="24"/>
                <w:szCs w:val="24"/>
              </w:rPr>
            </w:pPr>
            <w:r w:rsidRPr="00DC258E">
              <w:rPr>
                <w:rFonts w:asciiTheme="minorHAnsi" w:eastAsia="Century Gothic" w:hAnsiTheme="minorHAnsi" w:cstheme="minorHAnsi"/>
                <w:sz w:val="24"/>
                <w:szCs w:val="24"/>
              </w:rPr>
              <w:t xml:space="preserve">   </w:t>
            </w:r>
          </w:p>
          <w:p w14:paraId="049CE0DD" w14:textId="77777777" w:rsidR="00DC258E" w:rsidRPr="00DC258E" w:rsidRDefault="00DC258E" w:rsidP="008722FB">
            <w:pPr>
              <w:widowControl w:val="0"/>
              <w:pBdr>
                <w:top w:val="nil"/>
                <w:left w:val="nil"/>
                <w:bottom w:val="nil"/>
                <w:right w:val="nil"/>
                <w:between w:val="nil"/>
              </w:pBdr>
              <w:spacing w:line="240" w:lineRule="auto"/>
              <w:jc w:val="center"/>
              <w:rPr>
                <w:rFonts w:asciiTheme="minorHAnsi" w:eastAsia="Century Gothic" w:hAnsiTheme="minorHAnsi" w:cstheme="minorHAnsi"/>
                <w:sz w:val="24"/>
                <w:szCs w:val="24"/>
              </w:rPr>
            </w:pPr>
            <w:r w:rsidRPr="00DC258E">
              <w:rPr>
                <w:rFonts w:asciiTheme="minorHAnsi" w:eastAsia="Century Gothic" w:hAnsiTheme="minorHAnsi" w:cstheme="minorHAnsi"/>
                <w:noProof/>
                <w:sz w:val="24"/>
                <w:szCs w:val="24"/>
              </w:rPr>
              <w:drawing>
                <wp:inline distT="114300" distB="114300" distL="114300" distR="114300" wp14:anchorId="5D646B32" wp14:editId="70714670">
                  <wp:extent cx="190500" cy="210911"/>
                  <wp:effectExtent l="0" t="0" r="0" b="0"/>
                  <wp:docPr id="1"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pic:cNvPicPr preferRelativeResize="0"/>
                        </pic:nvPicPr>
                        <pic:blipFill>
                          <a:blip r:embed="rId11"/>
                          <a:srcRect/>
                          <a:stretch>
                            <a:fillRect/>
                          </a:stretch>
                        </pic:blipFill>
                        <pic:spPr>
                          <a:xfrm>
                            <a:off x="0" y="0"/>
                            <a:ext cx="190500" cy="210911"/>
                          </a:xfrm>
                          <a:prstGeom prst="rect">
                            <a:avLst/>
                          </a:prstGeom>
                          <a:ln/>
                        </pic:spPr>
                      </pic:pic>
                    </a:graphicData>
                  </a:graphic>
                </wp:inline>
              </w:drawing>
            </w:r>
          </w:p>
        </w:tc>
        <w:tc>
          <w:tcPr>
            <w:tcW w:w="5991" w:type="dxa"/>
            <w:gridSpan w:val="3"/>
            <w:shd w:val="clear" w:color="auto" w:fill="FCE5CD"/>
            <w:tcMar>
              <w:top w:w="100" w:type="dxa"/>
              <w:left w:w="100" w:type="dxa"/>
              <w:bottom w:w="100" w:type="dxa"/>
              <w:right w:w="100" w:type="dxa"/>
            </w:tcMar>
            <w:vAlign w:val="center"/>
          </w:tcPr>
          <w:p w14:paraId="116B35BC" w14:textId="77777777" w:rsidR="00DC258E" w:rsidRPr="00DC258E" w:rsidRDefault="00DC258E" w:rsidP="008722FB">
            <w:pPr>
              <w:widowControl w:val="0"/>
              <w:pBdr>
                <w:top w:val="nil"/>
                <w:left w:val="nil"/>
                <w:bottom w:val="nil"/>
                <w:right w:val="nil"/>
                <w:between w:val="nil"/>
              </w:pBdr>
              <w:spacing w:line="240" w:lineRule="auto"/>
              <w:rPr>
                <w:rFonts w:asciiTheme="minorHAnsi" w:eastAsia="Century Gothic" w:hAnsiTheme="minorHAnsi" w:cstheme="minorHAnsi"/>
                <w:sz w:val="18"/>
                <w:szCs w:val="18"/>
              </w:rPr>
            </w:pPr>
            <w:r w:rsidRPr="00DC258E">
              <w:rPr>
                <w:rFonts w:asciiTheme="minorHAnsi" w:eastAsia="Century Gothic" w:hAnsiTheme="minorHAnsi" w:cstheme="minorHAnsi"/>
                <w:sz w:val="18"/>
                <w:szCs w:val="18"/>
              </w:rPr>
              <w:t>Students select one of two challenges, then use the coins they’ve gathered in the modules to put towards completing the task.</w:t>
            </w:r>
          </w:p>
        </w:tc>
      </w:tr>
    </w:tbl>
    <w:p w14:paraId="790D0BB8" w14:textId="77777777" w:rsidR="00DC258E" w:rsidRDefault="00DC258E" w:rsidP="00DC258E">
      <w:pPr>
        <w:rPr>
          <w:rFonts w:ascii="Century Gothic" w:eastAsia="Century Gothic" w:hAnsi="Century Gothic" w:cs="Century Gothic"/>
          <w:color w:val="FF9900"/>
          <w:sz w:val="28"/>
          <w:szCs w:val="28"/>
        </w:rPr>
        <w:sectPr w:rsidR="00DC258E" w:rsidSect="00052E30">
          <w:headerReference w:type="default" r:id="rId12"/>
          <w:footerReference w:type="even" r:id="rId13"/>
          <w:footerReference w:type="default" r:id="rId14"/>
          <w:pgSz w:w="11900" w:h="16840"/>
          <w:pgMar w:top="2007" w:right="1440" w:bottom="1440" w:left="1440" w:header="709" w:footer="709" w:gutter="0"/>
          <w:cols w:space="708"/>
          <w:docGrid w:linePitch="360"/>
        </w:sectPr>
      </w:pPr>
    </w:p>
    <w:p w14:paraId="42AB2728" w14:textId="74B19F34" w:rsidR="00DC258E" w:rsidRPr="007E62B0" w:rsidRDefault="00DC258E" w:rsidP="00DC258E">
      <w:pPr>
        <w:pStyle w:val="Heading3"/>
      </w:pPr>
      <w:r w:rsidRPr="007E62B0">
        <w:lastRenderedPageBreak/>
        <w:t>How does it work?</w:t>
      </w:r>
    </w:p>
    <w:p w14:paraId="08DCF473" w14:textId="77777777" w:rsidR="00DC258E" w:rsidRDefault="00DC258E" w:rsidP="00DC258E">
      <w:pPr>
        <w:pStyle w:val="Body"/>
      </w:pPr>
      <w:r>
        <w:t>View “A beginner’s guide to money” as an introduction.</w:t>
      </w:r>
    </w:p>
    <w:p w14:paraId="06218C88" w14:textId="77777777" w:rsidR="00DC258E" w:rsidRDefault="00DC258E" w:rsidP="00DC258E">
      <w:pPr>
        <w:pStyle w:val="Body"/>
      </w:pPr>
      <w:r>
        <w:t xml:space="preserve">There are four modules for students to complete. Each module introduces new vocabulary and is supported by learning experiences, definitions, a relevant video and a quiz. Each module guides the user through with prompts and shows progress through the module. </w:t>
      </w:r>
    </w:p>
    <w:p w14:paraId="6A8A00FE" w14:textId="77777777" w:rsidR="00DC258E" w:rsidRDefault="00DC258E" w:rsidP="00DC258E">
      <w:pPr>
        <w:pStyle w:val="Body"/>
        <w:rPr>
          <w:color w:val="FF9900"/>
        </w:rPr>
      </w:pPr>
      <w:r>
        <w:t xml:space="preserve">Ask your students to keep track of which modules they have completed if you intend to complete this Starter Pack activity over several lessons.  </w:t>
      </w:r>
    </w:p>
    <w:p w14:paraId="16131047" w14:textId="77777777" w:rsidR="00DC258E" w:rsidRDefault="00DC258E" w:rsidP="00DC258E">
      <w:pPr>
        <w:pStyle w:val="Body"/>
      </w:pPr>
      <w:r>
        <w:t>In each module, students answer multichoice questions. They are rewarded with a possible total of 100 gold coins. If they get a question correct on the first attempt they’ll receive 100 gold coins - their total is tracked throughout the process. Students receive coins for further attempts but receive fewer coins per try.</w:t>
      </w:r>
    </w:p>
    <w:p w14:paraId="400721F7" w14:textId="77777777" w:rsidR="00DC258E" w:rsidRDefault="00DC258E" w:rsidP="00DC258E">
      <w:pPr>
        <w:pStyle w:val="Body"/>
      </w:pPr>
      <w:r>
        <w:t>Students pick a challenge as the culminating task. They use the monetary value of the coins they’ve been awarded to put towards this challenge. Download the Challenges as a PDF so students can complete the challenge in class. Students can work in groups, combining their totals for the challenge. They can present their completed challenge to the class so other students can vote on the challenge that most appeals to them based on the best value for money.</w:t>
      </w:r>
    </w:p>
    <w:p w14:paraId="09E471A6" w14:textId="77777777" w:rsidR="00DC258E" w:rsidRDefault="00DC258E" w:rsidP="00DC258E">
      <w:pPr>
        <w:pStyle w:val="Body"/>
      </w:pPr>
      <w:r>
        <w:t>Depending on your students’ needs, they can either work through the modules independently or you can use the resource as an instructional lesson following the steps. Either way, you’ll need to be familiar with the module so you can estimate the time your students will require to complete it.</w:t>
      </w:r>
    </w:p>
    <w:p w14:paraId="1BE89698" w14:textId="77777777" w:rsidR="00DC258E" w:rsidRDefault="00DC258E" w:rsidP="00DC258E">
      <w:pPr>
        <w:rPr>
          <w:rFonts w:ascii="Century Gothic" w:eastAsia="Century Gothic" w:hAnsi="Century Gothic" w:cs="Century Gothic"/>
          <w:sz w:val="20"/>
          <w:szCs w:val="20"/>
        </w:rPr>
      </w:pPr>
    </w:p>
    <w:p w14:paraId="44E5FBEB" w14:textId="77777777" w:rsidR="00DC258E" w:rsidRDefault="00DC258E" w:rsidP="00DC258E">
      <w:pPr>
        <w:rPr>
          <w:rFonts w:ascii="Century Gothic" w:eastAsia="Century Gothic" w:hAnsi="Century Gothic" w:cs="Century Gothic"/>
          <w:sz w:val="24"/>
          <w:szCs w:val="24"/>
        </w:rPr>
      </w:pPr>
    </w:p>
    <w:p w14:paraId="45FE30C6" w14:textId="77777777" w:rsidR="00DC258E" w:rsidRDefault="00DC258E" w:rsidP="00DC258E">
      <w:pPr>
        <w:rPr>
          <w:rFonts w:ascii="Century Gothic" w:eastAsia="Century Gothic" w:hAnsi="Century Gothic" w:cs="Century Gothic"/>
          <w:color w:val="FF9900"/>
          <w:sz w:val="28"/>
          <w:szCs w:val="28"/>
        </w:rPr>
      </w:pPr>
    </w:p>
    <w:p w14:paraId="43A203EE" w14:textId="77777777" w:rsidR="00DC258E" w:rsidRDefault="00DC258E" w:rsidP="00DC258E">
      <w:pPr>
        <w:rPr>
          <w:rFonts w:ascii="Century Gothic" w:eastAsia="Century Gothic" w:hAnsi="Century Gothic" w:cs="Century Gothic"/>
          <w:color w:val="FF9900"/>
          <w:sz w:val="28"/>
          <w:szCs w:val="28"/>
        </w:rPr>
      </w:pPr>
    </w:p>
    <w:p w14:paraId="0180310B" w14:textId="77777777" w:rsidR="009D77BB" w:rsidRPr="004F7D34" w:rsidRDefault="009D77BB" w:rsidP="004F7D34"/>
    <w:sectPr w:rsidR="009D77BB" w:rsidRPr="004F7D34" w:rsidSect="00052E30">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0743" w14:textId="77777777" w:rsidR="0036290E" w:rsidRDefault="0036290E" w:rsidP="00052E30">
      <w:pPr>
        <w:spacing w:line="240" w:lineRule="auto"/>
      </w:pPr>
      <w:r>
        <w:separator/>
      </w:r>
    </w:p>
  </w:endnote>
  <w:endnote w:type="continuationSeparator" w:id="0">
    <w:p w14:paraId="5F5B8174" w14:textId="77777777" w:rsidR="0036290E" w:rsidRDefault="0036290E" w:rsidP="00052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996194"/>
      <w:docPartObj>
        <w:docPartGallery w:val="Page Numbers (Bottom of Page)"/>
        <w:docPartUnique/>
      </w:docPartObj>
    </w:sdtPr>
    <w:sdtEndPr>
      <w:rPr>
        <w:rStyle w:val="PageNumber"/>
      </w:rPr>
    </w:sdtEndPr>
    <w:sdtContent>
      <w:p w14:paraId="0320136A"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00956E4D"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7FB53A91"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4BF29"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F79C" w14:textId="77777777" w:rsidR="00847464" w:rsidRPr="00847464" w:rsidRDefault="00847464" w:rsidP="00052E30">
    <w:pPr>
      <w:pStyle w:val="Footer"/>
      <w:pBdr>
        <w:bottom w:val="single" w:sz="6" w:space="1" w:color="auto"/>
      </w:pBdr>
      <w:rPr>
        <w:color w:val="2C2C2C"/>
        <w:sz w:val="16"/>
        <w:szCs w:val="16"/>
      </w:rPr>
    </w:pPr>
  </w:p>
  <w:p w14:paraId="2E59D6A4" w14:textId="14FD8FB8" w:rsidR="00052E30" w:rsidRPr="00052E30" w:rsidRDefault="00DC258E" w:rsidP="00052E30">
    <w:pPr>
      <w:pStyle w:val="Footer"/>
      <w:rPr>
        <w:b/>
        <w:bCs/>
      </w:rPr>
    </w:pPr>
    <w:hyperlink r:id="rId1" w:history="1">
      <w:r w:rsidR="00D44E63">
        <w:rPr>
          <w:rStyle w:val="Hyperlink"/>
          <w:sz w:val="18"/>
          <w:szCs w:val="18"/>
        </w:rPr>
        <w:t>© Te Ara Ahunga Ora 2021</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B5079A">
      <w:rPr>
        <w:b/>
        <w:bCs/>
        <w:color w:val="2C2C2C"/>
        <w:sz w:val="18"/>
        <w:szCs w:val="18"/>
      </w:rPr>
      <w:t>/copyright</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E62E" w14:textId="77777777" w:rsidR="0036290E" w:rsidRDefault="0036290E" w:rsidP="00052E30">
      <w:pPr>
        <w:spacing w:line="240" w:lineRule="auto"/>
      </w:pPr>
      <w:r>
        <w:separator/>
      </w:r>
    </w:p>
  </w:footnote>
  <w:footnote w:type="continuationSeparator" w:id="0">
    <w:p w14:paraId="0A3573DB" w14:textId="77777777" w:rsidR="0036290E" w:rsidRDefault="0036290E" w:rsidP="00052E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3AD1" w14:textId="77777777" w:rsidR="00052E30" w:rsidRDefault="00052E30">
    <w:pPr>
      <w:pStyle w:val="Header"/>
    </w:pPr>
    <w:r>
      <w:rPr>
        <w:noProof/>
      </w:rPr>
      <w:drawing>
        <wp:anchor distT="0" distB="0" distL="114300" distR="114300" simplePos="0" relativeHeight="251659264" behindDoc="1" locked="0" layoutInCell="1" allowOverlap="1" wp14:anchorId="595A71E8" wp14:editId="7DD0BEF9">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0ED"/>
    <w:multiLevelType w:val="multilevel"/>
    <w:tmpl w:val="2FFE8556"/>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2802"/>
    <w:multiLevelType w:val="hybridMultilevel"/>
    <w:tmpl w:val="352C2D9C"/>
    <w:lvl w:ilvl="0" w:tplc="8482F208">
      <w:start w:val="1"/>
      <w:numFmt w:val="bullet"/>
      <w:lvlText w:val=""/>
      <w:lvlJc w:val="left"/>
      <w:pPr>
        <w:ind w:left="720" w:hanging="360"/>
      </w:pPr>
      <w:rPr>
        <w:rFonts w:ascii="Symbol" w:hAnsi="Symbol" w:hint="default"/>
        <w:color w:val="FF6E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7F7777"/>
    <w:multiLevelType w:val="hybridMultilevel"/>
    <w:tmpl w:val="A1FEFAA2"/>
    <w:lvl w:ilvl="0" w:tplc="6D50F5FE">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793E10"/>
    <w:multiLevelType w:val="hybridMultilevel"/>
    <w:tmpl w:val="14AA2F66"/>
    <w:lvl w:ilvl="0" w:tplc="8482F208">
      <w:start w:val="1"/>
      <w:numFmt w:val="bullet"/>
      <w:pStyle w:val="NumberList"/>
      <w:lvlText w:val=""/>
      <w:lvlJc w:val="left"/>
      <w:pPr>
        <w:ind w:left="720" w:hanging="360"/>
      </w:pPr>
      <w:rPr>
        <w:rFonts w:ascii="Symbol" w:hAnsi="Symbol"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F1FF5"/>
    <w:multiLevelType w:val="multilevel"/>
    <w:tmpl w:val="6324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63"/>
    <w:rsid w:val="00052E30"/>
    <w:rsid w:val="000A5195"/>
    <w:rsid w:val="00176A65"/>
    <w:rsid w:val="00240BDD"/>
    <w:rsid w:val="0036290E"/>
    <w:rsid w:val="004D64F4"/>
    <w:rsid w:val="004F7D34"/>
    <w:rsid w:val="00535FD3"/>
    <w:rsid w:val="0083595F"/>
    <w:rsid w:val="00847464"/>
    <w:rsid w:val="008E56CD"/>
    <w:rsid w:val="009D77BB"/>
    <w:rsid w:val="00A20F1E"/>
    <w:rsid w:val="00B416D0"/>
    <w:rsid w:val="00B5079A"/>
    <w:rsid w:val="00C1740B"/>
    <w:rsid w:val="00C72755"/>
    <w:rsid w:val="00D421C2"/>
    <w:rsid w:val="00D44E63"/>
    <w:rsid w:val="00DC258E"/>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56851"/>
  <w15:chartTrackingRefBased/>
  <w15:docId w15:val="{6147A26B-2437-4E0C-B847-DFA750DE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8E"/>
    <w:pPr>
      <w:spacing w:line="276" w:lineRule="auto"/>
    </w:pPr>
    <w:rPr>
      <w:rFonts w:ascii="Arial" w:eastAsia="Arial" w:hAnsi="Arial" w:cs="Arial"/>
      <w:sz w:val="22"/>
      <w:szCs w:val="22"/>
      <w:lang w:val="en"/>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semiHidden/>
    <w:unhideWhenUsed/>
    <w:qFormat/>
    <w:rsid w:val="00052E30"/>
    <w:pPr>
      <w:keepNext/>
      <w:keepLines/>
      <w:spacing w:before="40" w:line="274"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spacing w:after="180" w:line="274"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spacing w:after="180" w:line="274"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pPr>
      <w:spacing w:after="180" w:line="274" w:lineRule="auto"/>
    </w:pPr>
    <w:rPr>
      <w:rFonts w:ascii="Calibri" w:eastAsiaTheme="minorHAnsi" w:hAnsi="Calibri" w:cstheme="minorBid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semiHidden/>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paragraph" w:styleId="ListParagraph">
    <w:name w:val="List Paragraph"/>
    <w:basedOn w:val="Normal"/>
    <w:uiPriority w:val="34"/>
    <w:qFormat/>
    <w:rsid w:val="00D4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ortedinschools.org.nz/students/starter-p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thet\Downloads\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7854023396F488AB71026ADCA02AC" ma:contentTypeVersion="16" ma:contentTypeDescription="Create a new document." ma:contentTypeScope="" ma:versionID="42a9be25497a9d5a7a95ce6db52f73cb">
  <xsd:schema xmlns:xsd="http://www.w3.org/2001/XMLSchema" xmlns:xs="http://www.w3.org/2001/XMLSchema" xmlns:p="http://schemas.microsoft.com/office/2006/metadata/properties" xmlns:ns1="http://schemas.microsoft.com/sharepoint/v3" xmlns:ns2="cdf7e5e6-a72e-40b5-be2c-61fd99f1e980" xmlns:ns3="3a6dd8e5-15ec-4d56-ae03-fb52d5d24db9" targetNamespace="http://schemas.microsoft.com/office/2006/metadata/properties" ma:root="true" ma:fieldsID="9b0b2a254c1e2b3ec4e9bfbacf4ce356" ns1:_="" ns2:_="" ns3:_="">
    <xsd:import namespace="http://schemas.microsoft.com/sharepoint/v3"/>
    <xsd:import namespace="cdf7e5e6-a72e-40b5-be2c-61fd99f1e980"/>
    <xsd:import namespace="3a6dd8e5-15ec-4d56-ae03-fb52d5d24db9"/>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Targ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7e5e6-a72e-40b5-be2c-61fd99f1e980"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Target" ma:index="23" nillable="true" ma:displayName="Target" ma:format="Dropdown" ma:internalName="Targe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dd8e5-15ec-4d56-ae03-fb52d5d24d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f7e5e6-a72e-40b5-be2c-61fd99f1e980" xsi:nil="true"/>
    <_ip_UnifiedCompliancePolicyUIAction xmlns="http://schemas.microsoft.com/sharepoint/v3" xsi:nil="true"/>
    <_ip_UnifiedCompliancePolicyProperties xmlns="http://schemas.microsoft.com/sharepoint/v3" xsi:nil="true"/>
    <Target xmlns="cdf7e5e6-a72e-40b5-be2c-61fd99f1e980" xsi:nil="true"/>
  </documentManagement>
</p:properties>
</file>

<file path=customXml/itemProps1.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2.xml><?xml version="1.0" encoding="utf-8"?>
<ds:datastoreItem xmlns:ds="http://schemas.openxmlformats.org/officeDocument/2006/customXml" ds:itemID="{A7C4A31B-51B0-4241-87E1-B28728DF8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f7e5e6-a72e-40b5-be2c-61fd99f1e980"/>
    <ds:schemaRef ds:uri="3a6dd8e5-15ec-4d56-ae03-fb52d5d2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SiS Word Portrait</Template>
  <TotalTime>24</TotalTime>
  <Pages>2</Pages>
  <Words>555</Words>
  <Characters>2802</Characters>
  <Application>Microsoft Office Word</Application>
  <DocSecurity>0</DocSecurity>
  <Lines>175</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Tista Lythe</dc:creator>
  <cp:keywords/>
  <dc:description/>
  <cp:lastModifiedBy>Tista Lythe</cp:lastModifiedBy>
  <cp:revision>6</cp:revision>
  <dcterms:created xsi:type="dcterms:W3CDTF">2021-07-06T22:36:00Z</dcterms:created>
  <dcterms:modified xsi:type="dcterms:W3CDTF">2021-07-07T00:00:00Z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0x010100CA57854023396F488AB71026ADCA02AC</vt:lpwstr>
  </property>
</Properties>
</file>